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highlight w:val="none"/>
        </w:rPr>
      </w:pPr>
      <w:r>
        <w:rPr>
          <w:rFonts w:hint="eastAsia" w:ascii="仿宋" w:hAnsi="仿宋" w:eastAsia="仿宋"/>
          <w:b/>
          <w:highlight w:val="none"/>
        </w:rPr>
        <w:t>赔付说明</w:t>
      </w:r>
    </w:p>
    <w:p>
      <w:pPr>
        <w:rPr>
          <w:highlight w:val="none"/>
        </w:rPr>
      </w:pPr>
    </w:p>
    <w:p>
      <w:pPr>
        <w:rPr>
          <w:rFonts w:ascii="黑体" w:hAnsi="黑体" w:eastAsia="黑体" w:cs="宋体"/>
          <w:bCs/>
          <w:kern w:val="0"/>
          <w:szCs w:val="21"/>
          <w:highlight w:val="none"/>
        </w:rPr>
      </w:pPr>
      <w:r>
        <w:rPr>
          <w:rFonts w:hint="eastAsia" w:ascii="黑体" w:hAnsi="黑体" w:eastAsia="黑体" w:cs="宋体"/>
          <w:b/>
          <w:bCs/>
          <w:kern w:val="0"/>
          <w:szCs w:val="21"/>
          <w:highlight w:val="none"/>
        </w:rPr>
        <w:t>免赔额</w:t>
      </w:r>
      <w:r>
        <w:rPr>
          <w:rFonts w:hint="eastAsia" w:ascii="黑体" w:hAnsi="黑体" w:eastAsia="黑体" w:cs="宋体"/>
          <w:bCs/>
          <w:kern w:val="0"/>
          <w:szCs w:val="21"/>
          <w:highlight w:val="none"/>
        </w:rPr>
        <w:t>：</w:t>
      </w:r>
    </w:p>
    <w:p>
      <w:pPr>
        <w:rPr>
          <w:rFonts w:ascii="仿宋" w:hAnsi="仿宋" w:eastAsia="仿宋" w:cs="宋体"/>
          <w:b/>
          <w:kern w:val="0"/>
          <w:szCs w:val="21"/>
          <w:highlight w:val="none"/>
        </w:rPr>
      </w:pPr>
      <w:r>
        <w:rPr>
          <w:rFonts w:hint="eastAsia" w:ascii="仿宋" w:hAnsi="仿宋" w:eastAsia="仿宋" w:cs="宋体"/>
          <w:bCs/>
          <w:kern w:val="0"/>
          <w:szCs w:val="21"/>
          <w:highlight w:val="none"/>
        </w:rPr>
        <w:t>本产品</w:t>
      </w:r>
      <w:r>
        <w:rPr>
          <w:rFonts w:hint="eastAsia" w:ascii="仿宋" w:hAnsi="仿宋" w:eastAsia="仿宋" w:cs="宋体"/>
          <w:b/>
          <w:bCs/>
          <w:kern w:val="0"/>
          <w:szCs w:val="21"/>
          <w:highlight w:val="none"/>
        </w:rPr>
        <w:t>成长计划和成长</w:t>
      </w:r>
      <w:r>
        <w:rPr>
          <w:rFonts w:ascii="仿宋" w:hAnsi="仿宋" w:eastAsia="仿宋" w:cs="宋体"/>
          <w:b/>
          <w:bCs/>
          <w:kern w:val="0"/>
          <w:szCs w:val="21"/>
          <w:highlight w:val="none"/>
        </w:rPr>
        <w:t>PLUS</w:t>
      </w:r>
      <w:r>
        <w:rPr>
          <w:rFonts w:hint="eastAsia" w:ascii="仿宋" w:hAnsi="仿宋" w:eastAsia="仿宋" w:cs="宋体"/>
          <w:b/>
          <w:bCs/>
          <w:kern w:val="0"/>
          <w:szCs w:val="21"/>
          <w:highlight w:val="none"/>
        </w:rPr>
        <w:t>计划住院及特定门诊医疗费用保险金</w:t>
      </w:r>
      <w:r>
        <w:rPr>
          <w:rFonts w:hint="eastAsia" w:ascii="仿宋" w:hAnsi="仿宋" w:eastAsia="仿宋" w:cs="宋体"/>
          <w:b/>
          <w:kern w:val="0"/>
          <w:szCs w:val="21"/>
          <w:highlight w:val="none"/>
        </w:rPr>
        <w:t>年度累计免赔额5000元</w:t>
      </w:r>
      <w:r>
        <w:rPr>
          <w:rFonts w:hint="eastAsia" w:ascii="仿宋" w:hAnsi="仿宋" w:eastAsia="仿宋" w:cs="宋体"/>
          <w:kern w:val="0"/>
          <w:szCs w:val="21"/>
          <w:highlight w:val="none"/>
        </w:rPr>
        <w:t>，优享计划，优享</w:t>
      </w:r>
      <w:r>
        <w:rPr>
          <w:rFonts w:ascii="仿宋" w:hAnsi="仿宋" w:eastAsia="仿宋" w:cs="宋体"/>
          <w:kern w:val="0"/>
          <w:szCs w:val="21"/>
          <w:highlight w:val="none"/>
        </w:rPr>
        <w:t>PLUS</w:t>
      </w:r>
      <w:r>
        <w:rPr>
          <w:rFonts w:hint="eastAsia" w:ascii="仿宋" w:hAnsi="仿宋" w:eastAsia="仿宋" w:cs="宋体"/>
          <w:kern w:val="0"/>
          <w:szCs w:val="21"/>
          <w:highlight w:val="none"/>
        </w:rPr>
        <w:t>计划，优享</w:t>
      </w:r>
      <w:r>
        <w:rPr>
          <w:rFonts w:hint="default" w:ascii="仿宋" w:hAnsi="仿宋" w:eastAsia="仿宋" w:cs="宋体"/>
          <w:kern w:val="0"/>
          <w:szCs w:val="21"/>
          <w:highlight w:val="none"/>
          <w:lang w:val="en-US"/>
        </w:rPr>
        <w:t>MAX</w:t>
      </w:r>
      <w:r>
        <w:rPr>
          <w:rFonts w:hint="eastAsia" w:ascii="仿宋" w:hAnsi="仿宋" w:eastAsia="仿宋" w:cs="宋体"/>
          <w:kern w:val="0"/>
          <w:szCs w:val="21"/>
          <w:highlight w:val="none"/>
        </w:rPr>
        <w:t xml:space="preserve">计划和优享PLUS </w:t>
      </w:r>
      <w:r>
        <w:rPr>
          <w:rFonts w:hint="default" w:ascii="仿宋" w:hAnsi="仿宋" w:eastAsia="仿宋" w:cs="宋体"/>
          <w:kern w:val="0"/>
          <w:szCs w:val="21"/>
          <w:highlight w:val="none"/>
          <w:lang w:val="en-US"/>
        </w:rPr>
        <w:t>MAX</w:t>
      </w:r>
      <w:r>
        <w:rPr>
          <w:rFonts w:hint="eastAsia" w:ascii="仿宋" w:hAnsi="仿宋" w:eastAsia="仿宋" w:cs="宋体"/>
          <w:kern w:val="0"/>
          <w:szCs w:val="21"/>
          <w:highlight w:val="none"/>
        </w:rPr>
        <w:t>计划无免赔</w:t>
      </w:r>
      <w:r>
        <w:rPr>
          <w:rFonts w:hint="eastAsia" w:ascii="仿宋" w:hAnsi="仿宋" w:eastAsia="仿宋" w:cs="宋体"/>
          <w:b/>
          <w:kern w:val="0"/>
          <w:szCs w:val="21"/>
          <w:highlight w:val="none"/>
        </w:rPr>
        <w:t>。</w:t>
      </w:r>
    </w:p>
    <w:p>
      <w:pPr>
        <w:rPr>
          <w:rFonts w:ascii="仿宋" w:hAnsi="仿宋" w:eastAsia="仿宋" w:cs="宋体"/>
          <w:bCs/>
          <w:kern w:val="0"/>
          <w:szCs w:val="21"/>
          <w:highlight w:val="none"/>
        </w:rPr>
      </w:pPr>
    </w:p>
    <w:p>
      <w:pPr>
        <w:widowControl/>
        <w:adjustRightInd w:val="0"/>
        <w:snapToGrid w:val="0"/>
        <w:jc w:val="left"/>
        <w:rPr>
          <w:rFonts w:ascii="黑体" w:hAnsi="黑体" w:eastAsia="黑体" w:cs="宋体"/>
          <w:b/>
          <w:bCs/>
          <w:kern w:val="0"/>
          <w:szCs w:val="21"/>
          <w:highlight w:val="none"/>
        </w:rPr>
      </w:pPr>
      <w:r>
        <w:rPr>
          <w:rFonts w:ascii="黑体" w:hAnsi="黑体" w:eastAsia="黑体" w:cs="宋体"/>
          <w:b/>
          <w:bCs/>
          <w:kern w:val="0"/>
          <w:szCs w:val="21"/>
          <w:highlight w:val="none"/>
        </w:rPr>
        <w:t>赔付比例</w:t>
      </w:r>
      <w:r>
        <w:rPr>
          <w:rFonts w:hint="eastAsia" w:ascii="黑体" w:hAnsi="黑体" w:eastAsia="黑体" w:cs="宋体"/>
          <w:b/>
          <w:bCs/>
          <w:kern w:val="0"/>
          <w:szCs w:val="21"/>
          <w:highlight w:val="none"/>
        </w:rPr>
        <w:t>及其他说明</w:t>
      </w:r>
      <w:r>
        <w:rPr>
          <w:rFonts w:ascii="黑体" w:hAnsi="黑体" w:eastAsia="黑体" w:cs="宋体"/>
          <w:b/>
          <w:bCs/>
          <w:kern w:val="0"/>
          <w:szCs w:val="21"/>
          <w:highlight w:val="none"/>
        </w:rPr>
        <w:t>：</w:t>
      </w:r>
    </w:p>
    <w:p>
      <w:pPr>
        <w:widowControl/>
        <w:adjustRightInd w:val="0"/>
        <w:snapToGrid w:val="0"/>
        <w:ind w:firstLine="422" w:firstLineChars="200"/>
        <w:jc w:val="left"/>
        <w:rPr>
          <w:rFonts w:ascii="仿宋" w:hAnsi="仿宋" w:eastAsia="仿宋" w:cs="宋体"/>
          <w:b/>
          <w:kern w:val="0"/>
          <w:szCs w:val="21"/>
          <w:highlight w:val="none"/>
        </w:rPr>
      </w:pPr>
      <w:r>
        <w:rPr>
          <w:rFonts w:hint="eastAsia" w:ascii="仿宋" w:hAnsi="仿宋" w:eastAsia="仿宋" w:cs="宋体"/>
          <w:b/>
          <w:kern w:val="0"/>
          <w:szCs w:val="21"/>
          <w:highlight w:val="none"/>
        </w:rPr>
        <w:t>1</w:t>
      </w:r>
      <w:r>
        <w:rPr>
          <w:rFonts w:ascii="仿宋" w:hAnsi="仿宋" w:eastAsia="仿宋" w:cs="宋体"/>
          <w:b/>
          <w:kern w:val="0"/>
          <w:szCs w:val="21"/>
          <w:highlight w:val="none"/>
        </w:rPr>
        <w:t>.</w:t>
      </w:r>
      <w:r>
        <w:rPr>
          <w:rFonts w:hint="eastAsia" w:ascii="仿宋" w:hAnsi="仿宋" w:eastAsia="仿宋" w:cs="宋体"/>
          <w:b/>
          <w:kern w:val="0"/>
          <w:szCs w:val="21"/>
          <w:highlight w:val="none"/>
          <w:lang w:eastAsia="zh-Hans"/>
        </w:rPr>
        <w:t>一般门急诊医疗费用保险金</w:t>
      </w:r>
      <w:r>
        <w:rPr>
          <w:rFonts w:hint="eastAsia" w:ascii="仿宋" w:hAnsi="仿宋" w:eastAsia="仿宋" w:cs="宋体"/>
          <w:b/>
          <w:kern w:val="0"/>
          <w:szCs w:val="21"/>
          <w:highlight w:val="none"/>
        </w:rPr>
        <w:t>赔付比例：</w:t>
      </w:r>
    </w:p>
    <w:p>
      <w:pPr>
        <w:widowControl/>
        <w:adjustRightInd w:val="0"/>
        <w:snapToGrid w:val="0"/>
        <w:ind w:firstLine="420" w:firstLineChars="200"/>
        <w:jc w:val="left"/>
        <w:rPr>
          <w:rFonts w:ascii="仿宋" w:hAnsi="仿宋" w:eastAsia="仿宋" w:cs="宋体"/>
          <w:b/>
          <w:color w:val="000000"/>
          <w:kern w:val="0"/>
          <w:szCs w:val="21"/>
          <w:highlight w:val="none"/>
        </w:rPr>
      </w:pPr>
      <w:r>
        <w:rPr>
          <w:rFonts w:hint="eastAsia" w:ascii="仿宋" w:hAnsi="仿宋" w:eastAsia="仿宋" w:cs="宋体"/>
          <w:bCs/>
          <w:color w:val="000000"/>
          <w:kern w:val="0"/>
          <w:szCs w:val="21"/>
          <w:highlight w:val="none"/>
        </w:rPr>
        <w:t>1</w:t>
      </w:r>
      <w:r>
        <w:rPr>
          <w:rFonts w:ascii="仿宋" w:hAnsi="仿宋" w:eastAsia="仿宋" w:cs="宋体"/>
          <w:bCs/>
          <w:color w:val="000000"/>
          <w:kern w:val="0"/>
          <w:szCs w:val="21"/>
          <w:highlight w:val="none"/>
        </w:rPr>
        <w:t>.1</w:t>
      </w:r>
      <w:r>
        <w:rPr>
          <w:rFonts w:hint="eastAsia" w:ascii="仿宋" w:hAnsi="仿宋" w:eastAsia="仿宋" w:cs="宋体"/>
          <w:bCs/>
          <w:color w:val="000000"/>
          <w:kern w:val="0"/>
          <w:szCs w:val="21"/>
          <w:highlight w:val="none"/>
        </w:rPr>
        <w:t>成长优享PLUS</w:t>
      </w:r>
      <w:r>
        <w:rPr>
          <w:rFonts w:hint="eastAsia" w:ascii="仿宋" w:hAnsi="仿宋" w:eastAsia="仿宋" w:cs="宋体"/>
          <w:bCs/>
          <w:color w:val="000000"/>
          <w:kern w:val="0"/>
          <w:szCs w:val="21"/>
          <w:highlight w:val="none"/>
          <w:lang w:val="en-US" w:eastAsia="zh-CN"/>
        </w:rPr>
        <w:t>方案</w:t>
      </w:r>
      <w:r>
        <w:rPr>
          <w:rFonts w:hint="eastAsia" w:ascii="仿宋" w:hAnsi="仿宋" w:eastAsia="仿宋" w:cs="宋体"/>
          <w:bCs/>
          <w:color w:val="000000"/>
          <w:kern w:val="0"/>
          <w:szCs w:val="21"/>
          <w:highlight w:val="none"/>
        </w:rPr>
        <w:t>和成长优享</w:t>
      </w:r>
      <w:r>
        <w:rPr>
          <w:rFonts w:hint="default" w:ascii="仿宋" w:hAnsi="仿宋" w:eastAsia="仿宋" w:cs="宋体"/>
          <w:bCs/>
          <w:color w:val="000000"/>
          <w:kern w:val="0"/>
          <w:szCs w:val="21"/>
          <w:highlight w:val="none"/>
          <w:lang w:val="en-US"/>
        </w:rPr>
        <w:t>MAX</w:t>
      </w:r>
      <w:r>
        <w:rPr>
          <w:rFonts w:hint="eastAsia" w:ascii="仿宋" w:hAnsi="仿宋" w:eastAsia="仿宋" w:cs="宋体"/>
          <w:bCs/>
          <w:color w:val="000000"/>
          <w:kern w:val="0"/>
          <w:szCs w:val="21"/>
          <w:highlight w:val="none"/>
          <w:lang w:val="en-US" w:eastAsia="zh-CN"/>
        </w:rPr>
        <w:t>（即时版）方案：</w:t>
      </w:r>
      <w:r>
        <w:rPr>
          <w:rFonts w:hint="eastAsia" w:ascii="仿宋" w:hAnsi="仿宋" w:eastAsia="仿宋" w:cs="宋体"/>
          <w:b/>
          <w:bCs/>
          <w:color w:val="000000"/>
          <w:kern w:val="0"/>
          <w:szCs w:val="21"/>
          <w:highlight w:val="none"/>
        </w:rPr>
        <w:t>如</w:t>
      </w:r>
      <w:r>
        <w:rPr>
          <w:rFonts w:hint="eastAsia" w:ascii="仿宋" w:hAnsi="仿宋" w:eastAsia="仿宋" w:cs="宋体"/>
          <w:b/>
          <w:bCs/>
          <w:kern w:val="0"/>
          <w:szCs w:val="21"/>
          <w:highlight w:val="none"/>
        </w:rPr>
        <w:t>被保险人</w:t>
      </w:r>
      <w:r>
        <w:rPr>
          <w:rFonts w:hint="eastAsia" w:ascii="仿宋" w:hAnsi="仿宋" w:eastAsia="仿宋" w:cs="宋体"/>
          <w:b/>
          <w:bCs/>
          <w:color w:val="000000"/>
          <w:kern w:val="0"/>
          <w:szCs w:val="21"/>
          <w:highlight w:val="none"/>
        </w:rPr>
        <w:t>前往“北京新世纪儿童医院”和“北京新世纪妇儿医院”“北京新世纪荣和门诊部”“北京怡德医院”“天津新世纪妇儿医院”</w:t>
      </w:r>
      <w:r>
        <w:rPr>
          <w:rFonts w:hint="eastAsia" w:ascii="仿宋" w:hAnsi="仿宋" w:eastAsia="仿宋" w:cs="宋体"/>
          <w:b/>
          <w:bCs/>
          <w:color w:val="000000"/>
          <w:kern w:val="0"/>
          <w:szCs w:val="21"/>
          <w:highlight w:val="none"/>
          <w:lang w:eastAsia="zh-Hans"/>
        </w:rPr>
        <w:t>进行</w:t>
      </w:r>
      <w:r>
        <w:rPr>
          <w:rFonts w:hint="eastAsia" w:ascii="仿宋" w:hAnsi="仿宋" w:eastAsia="仿宋" w:cs="宋体"/>
          <w:b/>
          <w:bCs/>
          <w:color w:val="000000"/>
          <w:kern w:val="0"/>
          <w:szCs w:val="21"/>
          <w:highlight w:val="none"/>
        </w:rPr>
        <w:t>门急诊治疗</w:t>
      </w:r>
      <w:r>
        <w:rPr>
          <w:rFonts w:hint="eastAsia" w:ascii="仿宋" w:hAnsi="仿宋" w:eastAsia="仿宋" w:cs="宋体"/>
          <w:bCs/>
          <w:color w:val="000000"/>
          <w:kern w:val="0"/>
          <w:szCs w:val="21"/>
          <w:highlight w:val="none"/>
        </w:rPr>
        <w:t>，成长PLUS计划：</w:t>
      </w:r>
      <w:r>
        <w:rPr>
          <w:rFonts w:hint="eastAsia" w:ascii="仿宋" w:hAnsi="仿宋" w:eastAsia="仿宋" w:cs="宋体"/>
          <w:b/>
          <w:bCs/>
          <w:color w:val="000000"/>
          <w:kern w:val="0"/>
          <w:szCs w:val="21"/>
          <w:highlight w:val="none"/>
        </w:rPr>
        <w:t>前</w:t>
      </w:r>
      <w:r>
        <w:rPr>
          <w:rFonts w:ascii="仿宋" w:hAnsi="仿宋" w:eastAsia="仿宋" w:cs="宋体"/>
          <w:b/>
          <w:bCs/>
          <w:color w:val="000000"/>
          <w:kern w:val="0"/>
          <w:szCs w:val="21"/>
          <w:highlight w:val="none"/>
        </w:rPr>
        <w:t>5</w:t>
      </w:r>
      <w:r>
        <w:rPr>
          <w:rFonts w:hint="eastAsia" w:ascii="仿宋" w:hAnsi="仿宋" w:eastAsia="仿宋" w:cs="宋体"/>
          <w:b/>
          <w:bCs/>
          <w:color w:val="000000"/>
          <w:kern w:val="0"/>
          <w:szCs w:val="21"/>
          <w:highlight w:val="none"/>
        </w:rPr>
        <w:t>次就诊，每次免赔额</w:t>
      </w:r>
      <w:r>
        <w:rPr>
          <w:rFonts w:ascii="仿宋" w:hAnsi="仿宋" w:eastAsia="仿宋" w:cs="宋体"/>
          <w:b/>
          <w:bCs/>
          <w:color w:val="000000"/>
          <w:kern w:val="0"/>
          <w:szCs w:val="21"/>
          <w:highlight w:val="none"/>
        </w:rPr>
        <w:t>500</w:t>
      </w:r>
      <w:r>
        <w:rPr>
          <w:rFonts w:hint="eastAsia" w:ascii="仿宋" w:hAnsi="仿宋" w:eastAsia="仿宋" w:cs="宋体"/>
          <w:b/>
          <w:bCs/>
          <w:color w:val="000000"/>
          <w:kern w:val="0"/>
          <w:szCs w:val="21"/>
          <w:highlight w:val="none"/>
        </w:rPr>
        <w:t>元，</w:t>
      </w:r>
      <w:r>
        <w:rPr>
          <w:rFonts w:hint="eastAsia" w:ascii="仿宋" w:hAnsi="仿宋" w:eastAsia="仿宋" w:cs="宋体"/>
          <w:b/>
          <w:color w:val="000000"/>
          <w:kern w:val="0"/>
          <w:szCs w:val="21"/>
          <w:highlight w:val="none"/>
        </w:rPr>
        <w:t xml:space="preserve">第6次起自付50%；优享PLUS计划：前10次就诊，每次免赔额500元，第11次起自付50%；优享PLUS </w:t>
      </w:r>
      <w:r>
        <w:rPr>
          <w:rFonts w:hint="eastAsia" w:ascii="仿宋" w:hAnsi="仿宋" w:eastAsia="仿宋" w:cs="宋体"/>
          <w:b/>
          <w:color w:val="000000"/>
          <w:kern w:val="0"/>
          <w:szCs w:val="21"/>
          <w:highlight w:val="none"/>
          <w:lang w:val="en-US" w:eastAsia="zh-CN"/>
        </w:rPr>
        <w:t>MAX</w:t>
      </w:r>
      <w:r>
        <w:rPr>
          <w:rFonts w:hint="eastAsia" w:ascii="仿宋" w:hAnsi="仿宋" w:eastAsia="仿宋" w:cs="宋体"/>
          <w:b/>
          <w:color w:val="000000"/>
          <w:kern w:val="0"/>
          <w:szCs w:val="21"/>
          <w:highlight w:val="none"/>
        </w:rPr>
        <w:t>计划：前12次就诊，每次免赔额500元，第13次起自付50%；</w:t>
      </w:r>
    </w:p>
    <w:p>
      <w:pPr>
        <w:widowControl/>
        <w:adjustRightInd w:val="0"/>
        <w:snapToGrid w:val="0"/>
        <w:ind w:firstLine="420" w:firstLineChars="200"/>
        <w:jc w:val="left"/>
        <w:rPr>
          <w:rFonts w:ascii="仿宋" w:hAnsi="仿宋" w:eastAsia="仿宋" w:cs="宋体"/>
          <w:b/>
          <w:color w:val="000000"/>
          <w:kern w:val="0"/>
          <w:szCs w:val="21"/>
          <w:highlight w:val="none"/>
        </w:rPr>
      </w:pPr>
      <w:r>
        <w:rPr>
          <w:rFonts w:ascii="仿宋" w:hAnsi="仿宋" w:eastAsia="仿宋" w:cs="宋体"/>
          <w:bCs/>
          <w:color w:val="000000"/>
          <w:kern w:val="0"/>
          <w:szCs w:val="21"/>
          <w:highlight w:val="none"/>
        </w:rPr>
        <w:t>1.</w:t>
      </w:r>
      <w:r>
        <w:rPr>
          <w:rFonts w:hint="eastAsia" w:ascii="仿宋" w:hAnsi="仿宋" w:eastAsia="仿宋" w:cs="宋体"/>
          <w:bCs/>
          <w:color w:val="000000"/>
          <w:kern w:val="0"/>
          <w:szCs w:val="21"/>
          <w:highlight w:val="none"/>
        </w:rPr>
        <w:t>2如</w:t>
      </w:r>
      <w:r>
        <w:rPr>
          <w:rFonts w:hint="eastAsia" w:ascii="仿宋" w:hAnsi="仿宋" w:eastAsia="仿宋" w:cs="宋体"/>
          <w:bCs/>
          <w:kern w:val="0"/>
          <w:szCs w:val="21"/>
          <w:highlight w:val="none"/>
        </w:rPr>
        <w:t>被保险人</w:t>
      </w:r>
      <w:r>
        <w:rPr>
          <w:rFonts w:hint="eastAsia" w:ascii="仿宋" w:hAnsi="仿宋" w:eastAsia="仿宋" w:cs="宋体"/>
          <w:bCs/>
          <w:color w:val="000000"/>
          <w:kern w:val="0"/>
          <w:szCs w:val="21"/>
          <w:highlight w:val="none"/>
        </w:rPr>
        <w:t>前往除了上述</w:t>
      </w:r>
      <w:r>
        <w:rPr>
          <w:rFonts w:hint="eastAsia" w:ascii="仿宋" w:hAnsi="仿宋" w:eastAsia="仿宋" w:cs="宋体"/>
          <w:b/>
          <w:bCs/>
          <w:color w:val="000000"/>
          <w:kern w:val="0"/>
          <w:szCs w:val="21"/>
          <w:highlight w:val="none"/>
        </w:rPr>
        <w:t>“北京新世纪儿童医院”和“北京新世纪妇儿医院”“北京新世纪荣和门诊部”“北京怡德医院”“天津新世纪妇儿医院”</w:t>
      </w:r>
      <w:r>
        <w:rPr>
          <w:rFonts w:hint="eastAsia" w:ascii="仿宋" w:hAnsi="仿宋" w:eastAsia="仿宋" w:cs="宋体"/>
          <w:bCs/>
          <w:color w:val="000000"/>
          <w:kern w:val="0"/>
          <w:szCs w:val="21"/>
          <w:highlight w:val="none"/>
        </w:rPr>
        <w:t>之外的其他医疗机构就诊，成长计划及成长PLUS计划门急诊治疗：前5次，责任范围内100%赔付，</w:t>
      </w:r>
      <w:r>
        <w:rPr>
          <w:rFonts w:hint="eastAsia" w:ascii="仿宋" w:hAnsi="仿宋" w:eastAsia="仿宋" w:cs="宋体"/>
          <w:b/>
          <w:color w:val="000000"/>
          <w:kern w:val="0"/>
          <w:szCs w:val="21"/>
          <w:highlight w:val="none"/>
        </w:rPr>
        <w:t>第6次起自付50%；</w:t>
      </w:r>
      <w:r>
        <w:rPr>
          <w:rFonts w:hint="eastAsia" w:ascii="仿宋" w:hAnsi="仿宋" w:eastAsia="仿宋" w:cs="宋体"/>
          <w:bCs/>
          <w:color w:val="000000"/>
          <w:kern w:val="0"/>
          <w:szCs w:val="21"/>
          <w:highlight w:val="none"/>
        </w:rPr>
        <w:t>优享计划及优享PLUS计划门急诊治疗：前10次，责任范围内100%赔付，</w:t>
      </w:r>
      <w:r>
        <w:rPr>
          <w:rFonts w:hint="eastAsia" w:ascii="仿宋" w:hAnsi="仿宋" w:eastAsia="仿宋" w:cs="宋体"/>
          <w:b/>
          <w:bCs/>
          <w:color w:val="000000"/>
          <w:kern w:val="0"/>
          <w:szCs w:val="21"/>
          <w:highlight w:val="none"/>
        </w:rPr>
        <w:t>第</w:t>
      </w:r>
      <w:r>
        <w:rPr>
          <w:rFonts w:ascii="仿宋" w:hAnsi="仿宋" w:eastAsia="仿宋" w:cs="宋体"/>
          <w:b/>
          <w:bCs/>
          <w:color w:val="000000"/>
          <w:kern w:val="0"/>
          <w:szCs w:val="21"/>
          <w:highlight w:val="none"/>
        </w:rPr>
        <w:t>11</w:t>
      </w:r>
      <w:r>
        <w:rPr>
          <w:rFonts w:hint="eastAsia" w:ascii="仿宋" w:hAnsi="仿宋" w:eastAsia="仿宋" w:cs="宋体"/>
          <w:b/>
          <w:bCs/>
          <w:color w:val="000000"/>
          <w:kern w:val="0"/>
          <w:szCs w:val="21"/>
          <w:highlight w:val="none"/>
        </w:rPr>
        <w:t>次起</w:t>
      </w:r>
      <w:r>
        <w:rPr>
          <w:rFonts w:hint="eastAsia" w:ascii="仿宋" w:hAnsi="仿宋" w:eastAsia="仿宋" w:cs="宋体"/>
          <w:b/>
          <w:color w:val="000000"/>
          <w:kern w:val="0"/>
          <w:szCs w:val="21"/>
          <w:highlight w:val="none"/>
        </w:rPr>
        <w:t>自付50%；</w:t>
      </w:r>
      <w:r>
        <w:rPr>
          <w:rFonts w:hint="eastAsia" w:ascii="仿宋" w:hAnsi="仿宋" w:eastAsia="仿宋" w:cs="宋体"/>
          <w:bCs/>
          <w:color w:val="000000"/>
          <w:kern w:val="0"/>
          <w:szCs w:val="21"/>
          <w:highlight w:val="none"/>
        </w:rPr>
        <w:t>优享</w:t>
      </w:r>
      <w:r>
        <w:rPr>
          <w:rFonts w:hint="eastAsia" w:ascii="仿宋" w:hAnsi="仿宋" w:eastAsia="仿宋" w:cs="宋体"/>
          <w:bCs/>
          <w:color w:val="000000"/>
          <w:kern w:val="0"/>
          <w:szCs w:val="21"/>
          <w:highlight w:val="none"/>
          <w:lang w:val="en-US" w:eastAsia="zh-CN"/>
        </w:rPr>
        <w:t>MAX</w:t>
      </w:r>
      <w:r>
        <w:rPr>
          <w:rFonts w:hint="eastAsia" w:ascii="仿宋" w:hAnsi="仿宋" w:eastAsia="仿宋" w:cs="宋体"/>
          <w:bCs/>
          <w:color w:val="000000"/>
          <w:kern w:val="0"/>
          <w:szCs w:val="21"/>
          <w:highlight w:val="none"/>
        </w:rPr>
        <w:t>计划及优享PLUS</w:t>
      </w:r>
      <w:r>
        <w:rPr>
          <w:rFonts w:hint="eastAsia" w:ascii="仿宋" w:hAnsi="仿宋" w:eastAsia="仿宋" w:cs="宋体"/>
          <w:bCs/>
          <w:color w:val="000000"/>
          <w:kern w:val="0"/>
          <w:szCs w:val="21"/>
          <w:highlight w:val="none"/>
          <w:lang w:val="en-US" w:eastAsia="zh-CN"/>
        </w:rPr>
        <w:t xml:space="preserve"> MAX</w:t>
      </w:r>
      <w:r>
        <w:rPr>
          <w:rFonts w:hint="eastAsia" w:ascii="仿宋" w:hAnsi="仿宋" w:eastAsia="仿宋" w:cs="宋体"/>
          <w:bCs/>
          <w:color w:val="000000"/>
          <w:kern w:val="0"/>
          <w:szCs w:val="21"/>
          <w:highlight w:val="none"/>
        </w:rPr>
        <w:t>计划门急诊治疗：前12次，责任范围内100%赔付，</w:t>
      </w:r>
      <w:r>
        <w:rPr>
          <w:rFonts w:hint="eastAsia" w:ascii="仿宋" w:hAnsi="仿宋" w:eastAsia="仿宋" w:cs="宋体"/>
          <w:b/>
          <w:bCs/>
          <w:color w:val="000000"/>
          <w:kern w:val="0"/>
          <w:szCs w:val="21"/>
          <w:highlight w:val="none"/>
        </w:rPr>
        <w:t>第</w:t>
      </w:r>
      <w:r>
        <w:rPr>
          <w:rFonts w:ascii="仿宋" w:hAnsi="仿宋" w:eastAsia="仿宋" w:cs="宋体"/>
          <w:b/>
          <w:bCs/>
          <w:color w:val="000000"/>
          <w:kern w:val="0"/>
          <w:szCs w:val="21"/>
          <w:highlight w:val="none"/>
        </w:rPr>
        <w:t>1</w:t>
      </w:r>
      <w:r>
        <w:rPr>
          <w:rFonts w:hint="eastAsia" w:ascii="仿宋" w:hAnsi="仿宋" w:eastAsia="仿宋" w:cs="宋体"/>
          <w:b/>
          <w:bCs/>
          <w:color w:val="000000"/>
          <w:kern w:val="0"/>
          <w:szCs w:val="21"/>
          <w:highlight w:val="none"/>
        </w:rPr>
        <w:t>3次起</w:t>
      </w:r>
      <w:r>
        <w:rPr>
          <w:rFonts w:hint="eastAsia" w:ascii="仿宋" w:hAnsi="仿宋" w:eastAsia="仿宋" w:cs="宋体"/>
          <w:b/>
          <w:color w:val="000000"/>
          <w:kern w:val="0"/>
          <w:szCs w:val="21"/>
          <w:highlight w:val="none"/>
        </w:rPr>
        <w:t>自付50%。</w:t>
      </w:r>
    </w:p>
    <w:p>
      <w:pPr>
        <w:widowControl/>
        <w:adjustRightInd w:val="0"/>
        <w:snapToGrid w:val="0"/>
        <w:ind w:firstLine="420" w:firstLineChars="200"/>
        <w:jc w:val="left"/>
        <w:rPr>
          <w:rFonts w:ascii="仿宋" w:hAnsi="仿宋" w:eastAsia="仿宋" w:cs="宋体"/>
          <w:bCs/>
          <w:color w:val="000000"/>
          <w:kern w:val="0"/>
          <w:szCs w:val="21"/>
          <w:highlight w:val="none"/>
        </w:rPr>
      </w:pPr>
    </w:p>
    <w:p>
      <w:pPr>
        <w:widowControl/>
        <w:adjustRightInd w:val="0"/>
        <w:snapToGrid w:val="0"/>
        <w:ind w:firstLine="422" w:firstLineChars="200"/>
        <w:jc w:val="left"/>
        <w:rPr>
          <w:rFonts w:ascii="仿宋" w:hAnsi="仿宋" w:eastAsia="仿宋" w:cs="宋体"/>
          <w:b/>
          <w:bCs/>
          <w:kern w:val="0"/>
          <w:szCs w:val="21"/>
          <w:highlight w:val="none"/>
        </w:rPr>
      </w:pPr>
      <w:r>
        <w:rPr>
          <w:rFonts w:hint="eastAsia" w:ascii="仿宋" w:hAnsi="仿宋" w:eastAsia="仿宋" w:cs="宋体"/>
          <w:b/>
          <w:bCs/>
          <w:color w:val="000000"/>
          <w:kern w:val="0"/>
          <w:szCs w:val="21"/>
          <w:highlight w:val="none"/>
        </w:rPr>
        <w:t>2</w:t>
      </w:r>
      <w:r>
        <w:rPr>
          <w:rFonts w:ascii="仿宋" w:hAnsi="仿宋" w:eastAsia="仿宋" w:cs="宋体"/>
          <w:b/>
          <w:bCs/>
          <w:color w:val="000000"/>
          <w:kern w:val="0"/>
          <w:szCs w:val="21"/>
          <w:highlight w:val="none"/>
        </w:rPr>
        <w:t>.</w:t>
      </w:r>
      <w:r>
        <w:rPr>
          <w:rFonts w:hint="eastAsia" w:ascii="仿宋" w:hAnsi="仿宋" w:eastAsia="仿宋" w:cs="宋体"/>
          <w:b/>
          <w:color w:val="000000"/>
          <w:kern w:val="0"/>
          <w:szCs w:val="21"/>
          <w:highlight w:val="none"/>
        </w:rPr>
        <w:t>住院及特定门诊医疗费用保险金</w:t>
      </w:r>
      <w:r>
        <w:rPr>
          <w:rFonts w:hint="eastAsia" w:ascii="仿宋" w:hAnsi="仿宋" w:eastAsia="仿宋" w:cs="宋体"/>
          <w:b/>
          <w:bCs/>
          <w:kern w:val="0"/>
          <w:szCs w:val="21"/>
          <w:highlight w:val="none"/>
        </w:rPr>
        <w:t>赔付比例：</w:t>
      </w:r>
    </w:p>
    <w:p>
      <w:pPr>
        <w:widowControl/>
        <w:adjustRightInd w:val="0"/>
        <w:snapToGrid w:val="0"/>
        <w:ind w:firstLine="420" w:firstLineChars="200"/>
        <w:jc w:val="left"/>
        <w:rPr>
          <w:rFonts w:ascii="仿宋" w:hAnsi="仿宋" w:eastAsia="仿宋" w:cs="宋体"/>
          <w:kern w:val="0"/>
          <w:szCs w:val="21"/>
          <w:highlight w:val="none"/>
        </w:rPr>
      </w:pPr>
      <w:r>
        <w:rPr>
          <w:rFonts w:hint="eastAsia" w:ascii="仿宋" w:hAnsi="仿宋" w:eastAsia="仿宋" w:cs="宋体"/>
          <w:bCs/>
          <w:kern w:val="0"/>
          <w:szCs w:val="21"/>
          <w:highlight w:val="none"/>
        </w:rPr>
        <w:t>保险期限内，</w:t>
      </w:r>
      <w:r>
        <w:rPr>
          <w:rFonts w:hint="eastAsia" w:ascii="仿宋" w:hAnsi="仿宋" w:eastAsia="仿宋" w:cs="宋体"/>
          <w:b/>
          <w:bCs/>
          <w:kern w:val="0"/>
          <w:szCs w:val="21"/>
          <w:highlight w:val="none"/>
        </w:rPr>
        <w:t>如被保险人</w:t>
      </w:r>
      <w:r>
        <w:rPr>
          <w:rFonts w:hint="eastAsia" w:ascii="仿宋" w:hAnsi="仿宋" w:eastAsia="仿宋" w:cs="宋体"/>
          <w:b/>
          <w:bCs/>
          <w:color w:val="000000"/>
          <w:kern w:val="0"/>
          <w:szCs w:val="21"/>
          <w:highlight w:val="none"/>
        </w:rPr>
        <w:t>前往上述“北京新世纪儿童医院”和“北京新世纪妇儿医院”</w:t>
      </w:r>
      <w:bookmarkStart w:id="0" w:name="_GoBack"/>
      <w:bookmarkEnd w:id="0"/>
      <w:r>
        <w:rPr>
          <w:rFonts w:hint="eastAsia" w:ascii="仿宋" w:hAnsi="仿宋" w:eastAsia="仿宋" w:cs="宋体"/>
          <w:b/>
          <w:bCs/>
          <w:color w:val="000000"/>
          <w:kern w:val="0"/>
          <w:szCs w:val="21"/>
          <w:highlight w:val="none"/>
        </w:rPr>
        <w:t>“北京怡德医院”“天津新世纪妇儿医院”</w:t>
      </w:r>
      <w:r>
        <w:rPr>
          <w:rFonts w:hint="eastAsia" w:ascii="仿宋" w:hAnsi="仿宋" w:eastAsia="仿宋" w:cs="宋体"/>
          <w:b/>
          <w:bCs/>
          <w:color w:val="000000"/>
          <w:kern w:val="0"/>
          <w:szCs w:val="21"/>
          <w:highlight w:val="none"/>
          <w:lang w:eastAsia="zh-Hans"/>
        </w:rPr>
        <w:t>进行住院治疗</w:t>
      </w:r>
      <w:r>
        <w:rPr>
          <w:rFonts w:ascii="仿宋" w:hAnsi="仿宋" w:eastAsia="仿宋" w:cs="宋体"/>
          <w:b/>
          <w:bCs/>
          <w:color w:val="000000"/>
          <w:kern w:val="0"/>
          <w:szCs w:val="21"/>
          <w:highlight w:val="none"/>
          <w:lang w:eastAsia="zh-Hans"/>
        </w:rPr>
        <w:t>，</w:t>
      </w:r>
      <w:r>
        <w:rPr>
          <w:rFonts w:hint="eastAsia" w:ascii="仿宋" w:hAnsi="仿宋" w:eastAsia="仿宋" w:cs="宋体"/>
          <w:b/>
          <w:color w:val="000000"/>
          <w:kern w:val="0"/>
          <w:szCs w:val="21"/>
          <w:highlight w:val="none"/>
        </w:rPr>
        <w:t>住院及特定门诊治疗扣除相应免赔额后仍需自付比例20%</w:t>
      </w:r>
      <w:r>
        <w:rPr>
          <w:rFonts w:hint="eastAsia" w:ascii="仿宋" w:hAnsi="仿宋" w:eastAsia="仿宋" w:cs="宋体"/>
          <w:kern w:val="0"/>
          <w:szCs w:val="21"/>
          <w:highlight w:val="none"/>
        </w:rPr>
        <w:t>。</w:t>
      </w:r>
    </w:p>
    <w:p>
      <w:pPr>
        <w:widowControl/>
        <w:adjustRightInd w:val="0"/>
        <w:snapToGrid w:val="0"/>
        <w:ind w:firstLine="422" w:firstLineChars="200"/>
        <w:jc w:val="left"/>
        <w:rPr>
          <w:rFonts w:ascii="仿宋" w:hAnsi="仿宋" w:eastAsia="仿宋" w:cs="宋体"/>
          <w:b/>
          <w:kern w:val="0"/>
          <w:szCs w:val="21"/>
          <w:highlight w:val="none"/>
        </w:rPr>
      </w:pPr>
    </w:p>
    <w:p>
      <w:pPr>
        <w:numPr>
          <w:ilvl w:val="0"/>
          <w:numId w:val="1"/>
        </w:numPr>
        <w:ind w:firstLine="422" w:firstLineChars="200"/>
        <w:rPr>
          <w:rFonts w:ascii="仿宋" w:hAnsi="仿宋" w:eastAsia="仿宋" w:cs="宋体"/>
          <w:b/>
          <w:kern w:val="0"/>
          <w:szCs w:val="21"/>
          <w:highlight w:val="none"/>
        </w:rPr>
      </w:pPr>
      <w:r>
        <w:rPr>
          <w:rFonts w:hint="eastAsia" w:ascii="仿宋" w:hAnsi="仿宋" w:eastAsia="仿宋" w:cs="宋体"/>
          <w:b/>
          <w:kern w:val="0"/>
          <w:szCs w:val="21"/>
          <w:highlight w:val="none"/>
        </w:rPr>
        <w:t>本产品不含因任何原因导致的牙科治疗费用。</w:t>
      </w:r>
    </w:p>
    <w:p>
      <w:pPr>
        <w:rPr>
          <w:rFonts w:ascii="仿宋" w:hAnsi="仿宋" w:eastAsia="仿宋" w:cs="宋体"/>
          <w:b/>
          <w:kern w:val="0"/>
          <w:szCs w:val="21"/>
          <w:highlight w:val="none"/>
        </w:rPr>
      </w:pPr>
    </w:p>
    <w:p>
      <w:pPr>
        <w:numPr>
          <w:ilvl w:val="0"/>
          <w:numId w:val="1"/>
        </w:numPr>
        <w:ind w:firstLine="422" w:firstLineChars="200"/>
        <w:rPr>
          <w:rFonts w:ascii="仿宋" w:hAnsi="仿宋" w:eastAsia="仿宋" w:cs="宋体"/>
          <w:b/>
          <w:kern w:val="0"/>
          <w:szCs w:val="21"/>
          <w:highlight w:val="none"/>
        </w:rPr>
      </w:pPr>
      <w:r>
        <w:rPr>
          <w:rFonts w:hint="eastAsia" w:ascii="仿宋" w:hAnsi="仿宋" w:eastAsia="仿宋" w:cs="宋体"/>
          <w:b/>
          <w:kern w:val="0"/>
          <w:szCs w:val="21"/>
          <w:highlight w:val="none"/>
        </w:rPr>
        <w:t>本产品不含中医治疗和物理治疗费用。</w:t>
      </w:r>
    </w:p>
    <w:p>
      <w:pPr>
        <w:ind w:firstLine="422" w:firstLineChars="200"/>
        <w:rPr>
          <w:rFonts w:ascii="仿宋" w:hAnsi="仿宋" w:eastAsia="仿宋" w:cs="宋体"/>
          <w:b/>
          <w:kern w:val="0"/>
          <w:szCs w:val="21"/>
          <w:highlight w:val="none"/>
        </w:rPr>
      </w:pPr>
    </w:p>
    <w:p>
      <w:pPr>
        <w:numPr>
          <w:ilvl w:val="0"/>
          <w:numId w:val="1"/>
        </w:numPr>
        <w:ind w:firstLine="422" w:firstLineChars="200"/>
        <w:rPr>
          <w:rFonts w:ascii="仿宋" w:hAnsi="仿宋" w:eastAsia="仿宋" w:cs="宋体"/>
          <w:b/>
          <w:kern w:val="0"/>
          <w:szCs w:val="21"/>
          <w:highlight w:val="none"/>
          <w:lang w:eastAsia="zh-Hans"/>
        </w:rPr>
      </w:pPr>
      <w:r>
        <w:rPr>
          <w:rFonts w:hint="eastAsia" w:ascii="仿宋" w:hAnsi="仿宋" w:eastAsia="仿宋" w:cs="宋体"/>
          <w:b/>
          <w:kern w:val="0"/>
          <w:szCs w:val="21"/>
          <w:highlight w:val="none"/>
          <w:lang w:eastAsia="zh-Hans"/>
        </w:rPr>
        <w:t>齿科医疗费用保险金赔付比例</w:t>
      </w:r>
      <w:r>
        <w:rPr>
          <w:rFonts w:ascii="仿宋" w:hAnsi="仿宋" w:eastAsia="仿宋" w:cs="宋体"/>
          <w:b/>
          <w:kern w:val="0"/>
          <w:szCs w:val="21"/>
          <w:highlight w:val="none"/>
          <w:lang w:eastAsia="zh-Hans"/>
        </w:rPr>
        <w:t>（</w:t>
      </w:r>
      <w:r>
        <w:rPr>
          <w:rFonts w:hint="eastAsia" w:ascii="仿宋" w:hAnsi="仿宋" w:eastAsia="仿宋" w:cs="宋体"/>
          <w:b/>
          <w:kern w:val="0"/>
          <w:szCs w:val="21"/>
          <w:highlight w:val="none"/>
          <w:lang w:eastAsia="zh-Hans"/>
        </w:rPr>
        <w:t>可选责任</w:t>
      </w:r>
      <w:r>
        <w:rPr>
          <w:rFonts w:ascii="仿宋" w:hAnsi="仿宋" w:eastAsia="仿宋" w:cs="宋体"/>
          <w:b/>
          <w:kern w:val="0"/>
          <w:szCs w:val="21"/>
          <w:highlight w:val="none"/>
          <w:lang w:eastAsia="zh-Hans"/>
        </w:rPr>
        <w:t>）：</w:t>
      </w:r>
    </w:p>
    <w:p>
      <w:pPr>
        <w:ind w:firstLine="420" w:firstLineChars="200"/>
        <w:rPr>
          <w:rFonts w:ascii="仿宋" w:hAnsi="仿宋" w:eastAsia="仿宋" w:cs="宋体"/>
          <w:bCs/>
          <w:kern w:val="0"/>
          <w:szCs w:val="21"/>
          <w:highlight w:val="none"/>
          <w:lang w:eastAsia="zh-Hans"/>
        </w:rPr>
      </w:pPr>
      <w:r>
        <w:rPr>
          <w:rFonts w:ascii="仿宋" w:hAnsi="仿宋" w:eastAsia="仿宋" w:cs="宋体"/>
          <w:bCs/>
          <w:kern w:val="0"/>
          <w:szCs w:val="21"/>
          <w:highlight w:val="none"/>
          <w:lang w:eastAsia="zh-Hans"/>
        </w:rPr>
        <w:t>4</w:t>
      </w:r>
      <w:r>
        <w:rPr>
          <w:rFonts w:hint="eastAsia" w:ascii="仿宋" w:hAnsi="仿宋" w:eastAsia="仿宋" w:cs="宋体"/>
          <w:bCs/>
          <w:kern w:val="0"/>
          <w:szCs w:val="21"/>
          <w:highlight w:val="none"/>
          <w:lang w:eastAsia="zh-Hans"/>
        </w:rPr>
        <w:t>.</w:t>
      </w:r>
      <w:r>
        <w:rPr>
          <w:rFonts w:ascii="仿宋" w:hAnsi="仿宋" w:eastAsia="仿宋" w:cs="宋体"/>
          <w:bCs/>
          <w:kern w:val="0"/>
          <w:szCs w:val="21"/>
          <w:highlight w:val="none"/>
          <w:lang w:eastAsia="zh-Hans"/>
        </w:rPr>
        <w:t>1</w:t>
      </w:r>
      <w:r>
        <w:rPr>
          <w:rFonts w:hint="eastAsia" w:ascii="仿宋" w:hAnsi="仿宋" w:eastAsia="仿宋" w:cs="宋体"/>
          <w:bCs/>
          <w:kern w:val="0"/>
          <w:szCs w:val="21"/>
          <w:highlight w:val="none"/>
          <w:lang w:val="en-US" w:eastAsia="zh-CN"/>
        </w:rPr>
        <w:t xml:space="preserve"> 齿科治疗</w:t>
      </w:r>
      <w:r>
        <w:rPr>
          <w:rFonts w:ascii="仿宋" w:hAnsi="仿宋" w:eastAsia="仿宋" w:cs="宋体"/>
          <w:bCs/>
          <w:kern w:val="0"/>
          <w:szCs w:val="21"/>
          <w:highlight w:val="none"/>
          <w:lang w:eastAsia="zh-Hans"/>
        </w:rPr>
        <w:t>没有自付比例，</w:t>
      </w:r>
      <w:r>
        <w:rPr>
          <w:rFonts w:hint="eastAsia" w:ascii="仿宋" w:hAnsi="仿宋" w:eastAsia="仿宋" w:cs="宋体"/>
          <w:b/>
          <w:bCs w:val="0"/>
          <w:kern w:val="0"/>
          <w:szCs w:val="21"/>
          <w:highlight w:val="none"/>
          <w:lang w:eastAsia="zh-Hans"/>
        </w:rPr>
        <w:t>同一保险期间内，洁牙、全口涂氟、窝沟封闭、乳牙拔除</w:t>
      </w:r>
      <w:r>
        <w:rPr>
          <w:rFonts w:hint="eastAsia" w:ascii="仿宋" w:hAnsi="仿宋" w:eastAsia="仿宋" w:cs="宋体"/>
          <w:b/>
          <w:bCs w:val="0"/>
          <w:kern w:val="0"/>
          <w:szCs w:val="21"/>
          <w:highlight w:val="none"/>
          <w:lang w:val="en-US" w:eastAsia="zh-Hans"/>
        </w:rPr>
        <w:t>四项</w:t>
      </w:r>
      <w:r>
        <w:rPr>
          <w:rFonts w:hint="eastAsia" w:ascii="仿宋" w:hAnsi="仿宋" w:eastAsia="仿宋" w:cs="宋体"/>
          <w:b/>
          <w:bCs w:val="0"/>
          <w:kern w:val="0"/>
          <w:szCs w:val="21"/>
          <w:highlight w:val="none"/>
          <w:lang w:eastAsia="zh-Hans"/>
        </w:rPr>
        <w:t>治疗项目的累计给付次数以6次为限，洁牙一次计为</w:t>
      </w:r>
      <w:r>
        <w:rPr>
          <w:rFonts w:hint="eastAsia" w:ascii="仿宋" w:hAnsi="仿宋" w:eastAsia="仿宋" w:cs="宋体"/>
          <w:b/>
          <w:bCs w:val="0"/>
          <w:kern w:val="0"/>
          <w:szCs w:val="21"/>
          <w:highlight w:val="none"/>
          <w:lang w:val="en-US" w:eastAsia="zh-CN"/>
        </w:rPr>
        <w:t>1</w:t>
      </w:r>
      <w:r>
        <w:rPr>
          <w:rFonts w:hint="eastAsia" w:ascii="仿宋" w:hAnsi="仿宋" w:eastAsia="仿宋" w:cs="宋体"/>
          <w:b/>
          <w:bCs w:val="0"/>
          <w:kern w:val="0"/>
          <w:szCs w:val="21"/>
          <w:highlight w:val="none"/>
          <w:lang w:eastAsia="zh-Hans"/>
        </w:rPr>
        <w:t>次，全口涂氟一次计为</w:t>
      </w:r>
      <w:r>
        <w:rPr>
          <w:rFonts w:hint="eastAsia" w:ascii="仿宋" w:hAnsi="仿宋" w:eastAsia="仿宋" w:cs="宋体"/>
          <w:b/>
          <w:bCs w:val="0"/>
          <w:kern w:val="0"/>
          <w:szCs w:val="21"/>
          <w:highlight w:val="none"/>
          <w:lang w:val="en-US" w:eastAsia="zh-CN"/>
        </w:rPr>
        <w:t>1</w:t>
      </w:r>
      <w:r>
        <w:rPr>
          <w:rFonts w:hint="eastAsia" w:ascii="仿宋" w:hAnsi="仿宋" w:eastAsia="仿宋" w:cs="宋体"/>
          <w:b/>
          <w:bCs w:val="0"/>
          <w:kern w:val="0"/>
          <w:szCs w:val="21"/>
          <w:highlight w:val="none"/>
          <w:lang w:eastAsia="zh-Hans"/>
        </w:rPr>
        <w:t>次，窝沟封闭一颗计为</w:t>
      </w:r>
      <w:r>
        <w:rPr>
          <w:rFonts w:hint="eastAsia" w:ascii="仿宋" w:hAnsi="仿宋" w:eastAsia="仿宋" w:cs="宋体"/>
          <w:b/>
          <w:bCs w:val="0"/>
          <w:kern w:val="0"/>
          <w:szCs w:val="21"/>
          <w:highlight w:val="none"/>
          <w:lang w:val="en-US" w:eastAsia="zh-CN"/>
        </w:rPr>
        <w:t>1</w:t>
      </w:r>
      <w:r>
        <w:rPr>
          <w:rFonts w:hint="eastAsia" w:ascii="仿宋" w:hAnsi="仿宋" w:eastAsia="仿宋" w:cs="宋体"/>
          <w:b/>
          <w:bCs w:val="0"/>
          <w:kern w:val="0"/>
          <w:szCs w:val="21"/>
          <w:highlight w:val="none"/>
          <w:lang w:eastAsia="zh-Hans"/>
        </w:rPr>
        <w:t>次且同一颗牙多次治疗每次计为</w:t>
      </w:r>
      <w:r>
        <w:rPr>
          <w:rFonts w:hint="eastAsia" w:ascii="仿宋" w:hAnsi="仿宋" w:eastAsia="仿宋" w:cs="宋体"/>
          <w:b/>
          <w:bCs w:val="0"/>
          <w:kern w:val="0"/>
          <w:szCs w:val="21"/>
          <w:highlight w:val="none"/>
          <w:lang w:val="en-US" w:eastAsia="zh-CN"/>
        </w:rPr>
        <w:t>1</w:t>
      </w:r>
      <w:r>
        <w:rPr>
          <w:rFonts w:hint="eastAsia" w:ascii="仿宋" w:hAnsi="仿宋" w:eastAsia="仿宋" w:cs="宋体"/>
          <w:b/>
          <w:bCs w:val="0"/>
          <w:kern w:val="0"/>
          <w:szCs w:val="21"/>
          <w:highlight w:val="none"/>
          <w:lang w:eastAsia="zh-Hans"/>
        </w:rPr>
        <w:t>次，乳牙拔除一颗计为</w:t>
      </w:r>
      <w:r>
        <w:rPr>
          <w:rFonts w:hint="eastAsia" w:ascii="仿宋" w:hAnsi="仿宋" w:eastAsia="仿宋" w:cs="宋体"/>
          <w:b/>
          <w:bCs w:val="0"/>
          <w:kern w:val="0"/>
          <w:szCs w:val="21"/>
          <w:highlight w:val="none"/>
          <w:lang w:val="en-US" w:eastAsia="zh-CN"/>
        </w:rPr>
        <w:t>1</w:t>
      </w:r>
      <w:r>
        <w:rPr>
          <w:rFonts w:hint="eastAsia" w:ascii="仿宋" w:hAnsi="仿宋" w:eastAsia="仿宋" w:cs="宋体"/>
          <w:b/>
          <w:bCs w:val="0"/>
          <w:kern w:val="0"/>
          <w:szCs w:val="21"/>
          <w:highlight w:val="none"/>
          <w:lang w:eastAsia="zh-Hans"/>
        </w:rPr>
        <w:t>次。</w:t>
      </w:r>
      <w:r>
        <w:rPr>
          <w:rFonts w:ascii="仿宋" w:hAnsi="仿宋" w:eastAsia="仿宋" w:cs="宋体"/>
          <w:bCs/>
          <w:kern w:val="0"/>
          <w:szCs w:val="21"/>
          <w:highlight w:val="none"/>
          <w:lang w:eastAsia="zh-Hans"/>
        </w:rPr>
        <w:t>。</w:t>
      </w:r>
    </w:p>
    <w:p>
      <w:pPr>
        <w:ind w:firstLine="420" w:firstLineChars="200"/>
        <w:rPr>
          <w:rFonts w:ascii="仿宋" w:hAnsi="仿宋" w:eastAsia="仿宋" w:cs="宋体"/>
          <w:bCs/>
          <w:kern w:val="0"/>
          <w:szCs w:val="21"/>
          <w:highlight w:val="none"/>
          <w:lang w:eastAsia="zh-Hans"/>
        </w:rPr>
      </w:pPr>
    </w:p>
    <w:p>
      <w:pPr>
        <w:numPr>
          <w:ilvl w:val="0"/>
          <w:numId w:val="1"/>
        </w:numPr>
        <w:ind w:firstLine="422" w:firstLineChars="200"/>
        <w:rPr>
          <w:rFonts w:ascii="仿宋" w:hAnsi="仿宋" w:eastAsia="仿宋" w:cs="宋体"/>
          <w:b/>
          <w:kern w:val="0"/>
          <w:szCs w:val="21"/>
          <w:highlight w:val="none"/>
          <w:lang w:eastAsia="zh-Hans"/>
        </w:rPr>
      </w:pPr>
      <w:r>
        <w:rPr>
          <w:rFonts w:hint="eastAsia" w:ascii="仿宋" w:hAnsi="仿宋" w:eastAsia="仿宋" w:cs="宋体"/>
          <w:b/>
          <w:kern w:val="0"/>
          <w:szCs w:val="21"/>
          <w:highlight w:val="none"/>
          <w:lang w:eastAsia="zh-Hans"/>
        </w:rPr>
        <w:t>眼视力医疗费用保险金赔付比例</w:t>
      </w:r>
      <w:r>
        <w:rPr>
          <w:rFonts w:ascii="仿宋" w:hAnsi="仿宋" w:eastAsia="仿宋" w:cs="宋体"/>
          <w:b/>
          <w:kern w:val="0"/>
          <w:szCs w:val="21"/>
          <w:highlight w:val="none"/>
          <w:lang w:eastAsia="zh-Hans"/>
        </w:rPr>
        <w:t>（</w:t>
      </w:r>
      <w:r>
        <w:rPr>
          <w:rFonts w:hint="eastAsia" w:ascii="仿宋" w:hAnsi="仿宋" w:eastAsia="仿宋" w:cs="宋体"/>
          <w:b/>
          <w:kern w:val="0"/>
          <w:szCs w:val="21"/>
          <w:highlight w:val="none"/>
          <w:lang w:eastAsia="zh-Hans"/>
        </w:rPr>
        <w:t>可选责任</w:t>
      </w:r>
      <w:r>
        <w:rPr>
          <w:rFonts w:ascii="仿宋" w:hAnsi="仿宋" w:eastAsia="仿宋" w:cs="宋体"/>
          <w:b/>
          <w:kern w:val="0"/>
          <w:szCs w:val="21"/>
          <w:highlight w:val="none"/>
          <w:lang w:eastAsia="zh-Hans"/>
        </w:rPr>
        <w:t>）：</w:t>
      </w:r>
    </w:p>
    <w:p>
      <w:pPr>
        <w:ind w:firstLine="420" w:firstLineChars="200"/>
        <w:rPr>
          <w:rFonts w:ascii="仿宋" w:hAnsi="仿宋" w:eastAsia="仿宋" w:cs="宋体"/>
          <w:b/>
          <w:kern w:val="0"/>
          <w:szCs w:val="21"/>
          <w:highlight w:val="none"/>
          <w:lang w:eastAsia="zh-Hans"/>
        </w:rPr>
      </w:pPr>
      <w:r>
        <w:rPr>
          <w:rFonts w:hint="eastAsia" w:ascii="仿宋" w:hAnsi="仿宋" w:eastAsia="仿宋" w:cs="宋体"/>
          <w:kern w:val="0"/>
          <w:szCs w:val="21"/>
          <w:highlight w:val="none"/>
        </w:rPr>
        <w:t>6</w:t>
      </w:r>
      <w:r>
        <w:rPr>
          <w:rFonts w:ascii="仿宋" w:hAnsi="仿宋" w:eastAsia="仿宋" w:cs="宋体"/>
          <w:kern w:val="0"/>
          <w:szCs w:val="21"/>
          <w:highlight w:val="none"/>
          <w:lang w:eastAsia="zh-Hans"/>
        </w:rPr>
        <w:t>.1</w:t>
      </w:r>
      <w:r>
        <w:rPr>
          <w:rFonts w:ascii="仿宋" w:hAnsi="仿宋" w:eastAsia="仿宋" w:cs="宋体"/>
          <w:b/>
          <w:kern w:val="0"/>
          <w:szCs w:val="21"/>
          <w:highlight w:val="none"/>
          <w:lang w:eastAsia="zh-Hans"/>
        </w:rPr>
        <w:t>近视镜配镜费用：</w:t>
      </w:r>
      <w:r>
        <w:rPr>
          <w:rFonts w:ascii="仿宋" w:hAnsi="仿宋" w:eastAsia="仿宋" w:cs="宋体"/>
          <w:bCs/>
          <w:kern w:val="0"/>
          <w:szCs w:val="21"/>
          <w:highlight w:val="none"/>
          <w:lang w:eastAsia="zh-Hans"/>
        </w:rPr>
        <w:t>若在保险期间内被保险人根据验光及眼轴检查结果而必须配置近视镜，且在保险人指定的医疗机构或指定的眼镜连锁机构配置了近视镜，对于被保险人实际支出的费用，</w:t>
      </w:r>
      <w:r>
        <w:rPr>
          <w:rFonts w:ascii="仿宋" w:hAnsi="仿宋" w:eastAsia="仿宋" w:cs="宋体"/>
          <w:b/>
          <w:kern w:val="0"/>
          <w:szCs w:val="21"/>
          <w:highlight w:val="none"/>
          <w:lang w:eastAsia="zh-Hans"/>
        </w:rPr>
        <w:t>保险人按30%的赔付比例进行赔偿。</w:t>
      </w:r>
    </w:p>
    <w:p>
      <w:pPr>
        <w:ind w:firstLine="420" w:firstLineChars="200"/>
        <w:rPr>
          <w:rFonts w:ascii="仿宋" w:hAnsi="仿宋" w:eastAsia="仿宋" w:cs="宋体"/>
          <w:b/>
          <w:kern w:val="0"/>
          <w:szCs w:val="21"/>
          <w:highlight w:val="none"/>
          <w:lang w:eastAsia="zh-Hans"/>
        </w:rPr>
      </w:pPr>
      <w:r>
        <w:rPr>
          <w:rFonts w:hint="eastAsia" w:ascii="仿宋" w:hAnsi="仿宋" w:eastAsia="仿宋" w:cs="宋体"/>
          <w:kern w:val="0"/>
          <w:szCs w:val="21"/>
          <w:highlight w:val="none"/>
        </w:rPr>
        <w:t>6</w:t>
      </w:r>
      <w:r>
        <w:rPr>
          <w:rFonts w:ascii="仿宋" w:hAnsi="仿宋" w:eastAsia="仿宋" w:cs="宋体"/>
          <w:kern w:val="0"/>
          <w:szCs w:val="21"/>
          <w:highlight w:val="none"/>
          <w:lang w:eastAsia="zh-Hans"/>
        </w:rPr>
        <w:t>.2</w:t>
      </w:r>
      <w:r>
        <w:rPr>
          <w:rFonts w:ascii="仿宋" w:hAnsi="仿宋" w:eastAsia="仿宋" w:cs="宋体"/>
          <w:b/>
          <w:kern w:val="0"/>
          <w:szCs w:val="21"/>
          <w:highlight w:val="none"/>
          <w:lang w:eastAsia="zh-Hans"/>
        </w:rPr>
        <w:t>防控近视镜配置费用：</w:t>
      </w:r>
      <w:r>
        <w:rPr>
          <w:rFonts w:ascii="仿宋" w:hAnsi="仿宋" w:eastAsia="仿宋" w:cs="宋体"/>
          <w:bCs/>
          <w:kern w:val="0"/>
          <w:szCs w:val="21"/>
          <w:highlight w:val="none"/>
          <w:lang w:eastAsia="zh-Hans"/>
        </w:rPr>
        <w:t>若在保险期间内被保险人根据验光及眼轴检查结果，并经保险人指定的医疗机构或指定的眼镜连锁机构评估必须配置防控近视镜，且在该医疗机构配置了以下防控近视镜的，对于被保险人实际产生的配置防控近视镜的费用，</w:t>
      </w:r>
      <w:r>
        <w:rPr>
          <w:rFonts w:ascii="仿宋" w:hAnsi="仿宋" w:eastAsia="仿宋" w:cs="宋体"/>
          <w:b/>
          <w:kern w:val="0"/>
          <w:szCs w:val="21"/>
          <w:highlight w:val="none"/>
          <w:lang w:eastAsia="zh-Hans"/>
        </w:rPr>
        <w:t>保险人按20%的赔付比例进行赔偿：</w:t>
      </w:r>
      <w:r>
        <w:rPr>
          <w:rFonts w:ascii="仿宋" w:hAnsi="仿宋" w:eastAsia="仿宋" w:cs="宋体"/>
          <w:bCs/>
          <w:kern w:val="0"/>
          <w:szCs w:val="21"/>
          <w:highlight w:val="none"/>
          <w:lang w:eastAsia="zh-Hans"/>
        </w:rPr>
        <w:t>a. 特殊设计近视防控框架镜片（包含依视路星趣控系列、豪雅新乐学系列、尼康控优点、蔡司小乐圆镜片、奥拉镜片等）；b. 角膜塑形镜（包括所有相关角膜塑形镜镜片、诊疗费、检查费、治疗费）。</w:t>
      </w:r>
    </w:p>
    <w:p>
      <w:pPr>
        <w:ind w:firstLine="420" w:firstLineChars="200"/>
        <w:rPr>
          <w:rFonts w:ascii="仿宋" w:hAnsi="仿宋" w:eastAsia="仿宋" w:cs="宋体"/>
          <w:kern w:val="0"/>
          <w:szCs w:val="21"/>
          <w:highlight w:val="none"/>
          <w:lang w:eastAsia="zh-Hans"/>
        </w:rPr>
      </w:pPr>
      <w:r>
        <w:rPr>
          <w:rFonts w:hint="eastAsia" w:ascii="仿宋" w:hAnsi="仿宋" w:eastAsia="仿宋" w:cs="宋体"/>
          <w:kern w:val="0"/>
          <w:szCs w:val="21"/>
          <w:highlight w:val="none"/>
        </w:rPr>
        <w:t>6</w:t>
      </w:r>
      <w:r>
        <w:rPr>
          <w:rFonts w:ascii="仿宋" w:hAnsi="仿宋" w:eastAsia="仿宋" w:cs="宋体"/>
          <w:kern w:val="0"/>
          <w:szCs w:val="21"/>
          <w:highlight w:val="none"/>
          <w:lang w:eastAsia="zh-Hans"/>
        </w:rPr>
        <w:t>.3</w:t>
      </w:r>
      <w:r>
        <w:rPr>
          <w:rFonts w:ascii="仿宋" w:hAnsi="仿宋" w:eastAsia="仿宋" w:cs="宋体"/>
          <w:b/>
          <w:kern w:val="0"/>
          <w:szCs w:val="21"/>
          <w:highlight w:val="none"/>
          <w:lang w:eastAsia="zh-Hans"/>
        </w:rPr>
        <w:t>防控近视未达预期近视镜费用：</w:t>
      </w:r>
      <w:r>
        <w:rPr>
          <w:rFonts w:ascii="仿宋" w:hAnsi="仿宋" w:eastAsia="仿宋" w:cs="宋体"/>
          <w:bCs/>
          <w:kern w:val="0"/>
          <w:szCs w:val="21"/>
          <w:highlight w:val="none"/>
          <w:lang w:eastAsia="zh-Hans"/>
        </w:rPr>
        <w:t>若在保险期间内被保险人根据验光及眼轴检查结果，并经保险人指定的医疗机构或指定的眼镜连锁机构评估必须配置防控近视镜，且在该医疗机构配置了防控近视镜，随后在保险期间内进行第二次验光和检查时，确诊其任意一只眼睛的等效球镜度的增长幅度超过100度，且被保险人因等效球镜度的增长在保险人指定的医疗机构或指定的眼镜连锁机构置了近视镜</w:t>
      </w:r>
      <w:r>
        <w:rPr>
          <w:rFonts w:ascii="仿宋" w:hAnsi="仿宋" w:eastAsia="仿宋" w:cs="宋体"/>
          <w:b/>
          <w:kern w:val="0"/>
          <w:szCs w:val="21"/>
          <w:highlight w:val="none"/>
          <w:lang w:eastAsia="zh-Hans"/>
        </w:rPr>
        <w:t>（仅限镜片或/及镜框1副）</w:t>
      </w:r>
      <w:r>
        <w:rPr>
          <w:rFonts w:ascii="仿宋" w:hAnsi="仿宋" w:eastAsia="仿宋" w:cs="宋体"/>
          <w:bCs/>
          <w:kern w:val="0"/>
          <w:szCs w:val="21"/>
          <w:highlight w:val="none"/>
          <w:lang w:eastAsia="zh-Hans"/>
        </w:rPr>
        <w:t>，对于被保险人实际产生的购置近视镜的费用，</w:t>
      </w:r>
      <w:r>
        <w:rPr>
          <w:rFonts w:ascii="仿宋" w:hAnsi="仿宋" w:eastAsia="仿宋" w:cs="宋体"/>
          <w:b/>
          <w:kern w:val="0"/>
          <w:szCs w:val="21"/>
          <w:highlight w:val="none"/>
          <w:lang w:eastAsia="zh-Hans"/>
        </w:rPr>
        <w:t>保险人以保险金额1,000元为限进行赔偿</w:t>
      </w:r>
      <w:r>
        <w:rPr>
          <w:rFonts w:ascii="仿宋" w:hAnsi="仿宋" w:eastAsia="仿宋" w:cs="宋体"/>
          <w:kern w:val="0"/>
          <w:szCs w:val="21"/>
          <w:highlight w:val="none"/>
          <w:lang w:eastAsia="zh-Hans"/>
        </w:rPr>
        <w:t>。</w:t>
      </w:r>
    </w:p>
    <w:p>
      <w:pPr>
        <w:ind w:firstLine="422" w:firstLineChars="200"/>
        <w:rPr>
          <w:rFonts w:ascii="仿宋" w:hAnsi="仿宋" w:eastAsia="仿宋" w:cs="宋体"/>
          <w:b/>
          <w:kern w:val="0"/>
          <w:szCs w:val="21"/>
          <w:highlight w:val="none"/>
          <w:lang w:eastAsia="zh-Hans"/>
        </w:rPr>
      </w:pPr>
    </w:p>
    <w:p>
      <w:pPr>
        <w:numPr>
          <w:ilvl w:val="0"/>
          <w:numId w:val="1"/>
        </w:numPr>
        <w:ind w:firstLine="420" w:firstLineChars="200"/>
        <w:rPr>
          <w:rFonts w:ascii="仿宋" w:hAnsi="仿宋" w:eastAsia="仿宋" w:cs="宋体"/>
          <w:bCs/>
          <w:kern w:val="0"/>
          <w:szCs w:val="21"/>
          <w:highlight w:val="none"/>
        </w:rPr>
      </w:pPr>
      <w:r>
        <w:rPr>
          <w:rFonts w:hint="eastAsia" w:ascii="仿宋" w:hAnsi="仿宋" w:eastAsia="仿宋" w:cs="宋体"/>
          <w:bCs/>
          <w:kern w:val="0"/>
          <w:szCs w:val="21"/>
          <w:highlight w:val="none"/>
        </w:rPr>
        <w:t>接受下述治疗前，请在预定开始治疗日期前</w:t>
      </w:r>
      <w:r>
        <w:rPr>
          <w:rFonts w:hint="eastAsia" w:ascii="仿宋" w:hAnsi="仿宋" w:eastAsia="仿宋" w:cs="宋体"/>
          <w:b/>
          <w:bCs/>
          <w:kern w:val="0"/>
          <w:szCs w:val="21"/>
          <w:highlight w:val="none"/>
        </w:rPr>
        <w:t>至少3个工作日</w:t>
      </w:r>
      <w:r>
        <w:rPr>
          <w:rFonts w:hint="eastAsia" w:ascii="仿宋" w:hAnsi="仿宋" w:eastAsia="仿宋" w:cs="宋体"/>
          <w:bCs/>
          <w:kern w:val="0"/>
          <w:szCs w:val="21"/>
          <w:highlight w:val="none"/>
        </w:rPr>
        <w:t>提前联系保险公司授权服务管理商风石健康申请预授权，服务电话：021-80209058。未获得书面许可回复擅自接受治疗的，或保险人要求被保险人在网络医疗机构接受治疗但被保险人在非网络医疗机构接受治疗的，</w:t>
      </w:r>
      <w:r>
        <w:rPr>
          <w:rFonts w:hint="eastAsia" w:ascii="仿宋" w:hAnsi="仿宋" w:eastAsia="仿宋" w:cs="宋体"/>
          <w:b/>
          <w:kern w:val="0"/>
          <w:szCs w:val="21"/>
          <w:highlight w:val="none"/>
        </w:rPr>
        <w:t>被保险人将有责任承担额外40%的医疗费用，</w:t>
      </w:r>
      <w:r>
        <w:rPr>
          <w:rFonts w:hint="eastAsia" w:ascii="仿宋" w:hAnsi="仿宋" w:eastAsia="仿宋" w:cs="宋体"/>
          <w:b/>
          <w:bCs/>
          <w:kern w:val="0"/>
          <w:szCs w:val="21"/>
          <w:highlight w:val="none"/>
        </w:rPr>
        <w:t>且保险公司保留不承担保险责任的权利</w:t>
      </w:r>
      <w:r>
        <w:rPr>
          <w:rFonts w:hint="eastAsia" w:ascii="仿宋" w:hAnsi="仿宋" w:eastAsia="仿宋" w:cs="宋体"/>
          <w:bCs/>
          <w:kern w:val="0"/>
          <w:szCs w:val="21"/>
          <w:highlight w:val="none"/>
        </w:rPr>
        <w:t>：（1）所有住院和手术治疗；（2）需全身麻醉的门诊手术，化学治疗，放射治疗，肿瘤免疫疗法，肿瘤内分泌疗法，质子重离子治疗，血液或者腹膜透析；（3）大型检查检验项目，或单价在人民币5000元以上的检查项目；（4）购买或者租用非一次性耐用医疗设备，包括但不限于雾化器及其配套器械；(5）虽不符合上述医疗项目，但预期保险期间内累计医疗费用超过3万元的任何治疗、检查项目。</w:t>
      </w:r>
    </w:p>
    <w:p>
      <w:pPr>
        <w:ind w:firstLine="420" w:firstLineChars="200"/>
        <w:rPr>
          <w:rFonts w:ascii="仿宋" w:hAnsi="仿宋" w:eastAsia="仿宋" w:cs="宋体"/>
          <w:bCs/>
          <w:kern w:val="0"/>
          <w:szCs w:val="21"/>
          <w:highlight w:val="none"/>
        </w:rPr>
      </w:pPr>
    </w:p>
    <w:p>
      <w:pPr>
        <w:numPr>
          <w:ilvl w:val="0"/>
          <w:numId w:val="1"/>
        </w:numPr>
        <w:ind w:firstLine="420" w:firstLineChars="200"/>
        <w:rPr>
          <w:highlight w:val="none"/>
        </w:rPr>
      </w:pPr>
      <w:r>
        <w:rPr>
          <w:rFonts w:hint="eastAsia" w:ascii="仿宋" w:hAnsi="仿宋" w:eastAsia="仿宋" w:cs="宋体"/>
          <w:bCs/>
          <w:kern w:val="0"/>
          <w:szCs w:val="21"/>
          <w:highlight w:val="none"/>
        </w:rPr>
        <w:t>本产品</w:t>
      </w:r>
      <w:r>
        <w:rPr>
          <w:rFonts w:hint="eastAsia" w:ascii="仿宋" w:hAnsi="仿宋" w:eastAsia="仿宋" w:cs="宋体"/>
          <w:b/>
          <w:bCs/>
          <w:kern w:val="0"/>
          <w:szCs w:val="21"/>
          <w:highlight w:val="none"/>
        </w:rPr>
        <w:t>适用医疗费用补偿原则</w:t>
      </w:r>
      <w:r>
        <w:rPr>
          <w:rFonts w:hint="eastAsia" w:ascii="仿宋" w:hAnsi="仿宋" w:eastAsia="仿宋" w:cs="宋体"/>
          <w:bCs/>
          <w:kern w:val="0"/>
          <w:szCs w:val="21"/>
          <w:highlight w:val="none"/>
        </w:rPr>
        <w:t>。若被保险人已从其他途径（包括社会医疗保险、公费医疗、工作单位、保险人在内的任何商业保险机构等）获得医疗费用补偿，则保险人仅对被保险人实际发生的医疗费用扣除其所获医疗费用补偿后的余额按照约定进行补偿。社保卡个人账户部分支出视为个人支付，不属于已获得的医疗费用补偿。</w:t>
      </w:r>
    </w:p>
    <w:p>
      <w:pPr>
        <w:rPr>
          <w:rFonts w:ascii="仿宋" w:hAnsi="仿宋" w:eastAsia="仿宋" w:cs="宋体"/>
          <w:bCs/>
          <w:kern w:val="0"/>
          <w:szCs w:val="21"/>
          <w:highlight w:val="none"/>
        </w:rPr>
      </w:pPr>
    </w:p>
    <w:p>
      <w:pPr>
        <w:rPr>
          <w:rFonts w:ascii="仿宋" w:hAnsi="仿宋" w:eastAsia="仿宋" w:cs="宋体"/>
          <w:bCs/>
          <w:kern w:val="0"/>
          <w:szCs w:val="21"/>
          <w:highlight w:val="none"/>
        </w:rPr>
      </w:pPr>
    </w:p>
    <w:p>
      <w:pPr>
        <w:rPr>
          <w:rFonts w:ascii="仿宋" w:hAnsi="仿宋" w:eastAsia="仿宋" w:cs="宋体"/>
          <w:bCs/>
          <w:kern w:val="0"/>
          <w:szCs w:val="21"/>
          <w:highlight w:val="none"/>
        </w:rPr>
      </w:pPr>
    </w:p>
    <w:p>
      <w:pPr>
        <w:jc w:val="center"/>
        <w:rPr>
          <w:rFonts w:ascii="仿宋" w:hAnsi="仿宋" w:eastAsia="仿宋" w:cs="宋体"/>
          <w:bCs/>
          <w:kern w:val="0"/>
          <w:szCs w:val="21"/>
          <w:highlight w:val="none"/>
        </w:rPr>
      </w:pPr>
      <w:r>
        <w:rPr>
          <w:rFonts w:hint="eastAsia" w:ascii="仿宋" w:hAnsi="仿宋" w:eastAsia="仿宋" w:cs="宋体"/>
          <w:bCs/>
          <w:kern w:val="0"/>
          <w:szCs w:val="21"/>
          <w:highlight w:val="none"/>
        </w:rPr>
        <w:t>（本页内容结束）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EBE30"/>
    <w:multiLevelType w:val="singleLevel"/>
    <w:tmpl w:val="76FEBE3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7F"/>
    <w:rsid w:val="00060D3B"/>
    <w:rsid w:val="0008173D"/>
    <w:rsid w:val="00140C93"/>
    <w:rsid w:val="001E7A4C"/>
    <w:rsid w:val="001F1AC2"/>
    <w:rsid w:val="00265407"/>
    <w:rsid w:val="002D3C7F"/>
    <w:rsid w:val="00524BDD"/>
    <w:rsid w:val="00636999"/>
    <w:rsid w:val="006B1598"/>
    <w:rsid w:val="00780375"/>
    <w:rsid w:val="008C0AE8"/>
    <w:rsid w:val="008F51FE"/>
    <w:rsid w:val="00937EF7"/>
    <w:rsid w:val="009D20E0"/>
    <w:rsid w:val="00C25510"/>
    <w:rsid w:val="00C571DF"/>
    <w:rsid w:val="00CA3C19"/>
    <w:rsid w:val="00E02753"/>
    <w:rsid w:val="00EF5C86"/>
    <w:rsid w:val="00FE6B09"/>
    <w:rsid w:val="00FF6739"/>
    <w:rsid w:val="2B595199"/>
    <w:rsid w:val="57DFD54F"/>
    <w:rsid w:val="5B27C984"/>
    <w:rsid w:val="68EF9A5F"/>
    <w:rsid w:val="6BBD347A"/>
    <w:rsid w:val="716D9A31"/>
    <w:rsid w:val="7AFF131B"/>
    <w:rsid w:val="7BF5BB5A"/>
    <w:rsid w:val="7E5707DA"/>
    <w:rsid w:val="7F5EC415"/>
    <w:rsid w:val="7FDF2EAD"/>
    <w:rsid w:val="AFDBDA5B"/>
    <w:rsid w:val="BFDDDD7B"/>
    <w:rsid w:val="F93AEEF7"/>
    <w:rsid w:val="FCFE49DA"/>
    <w:rsid w:val="FEB6AA98"/>
    <w:rsid w:val="FFEE1AD1"/>
    <w:rsid w:val="FFF2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批注框文本 字符"/>
    <w:basedOn w:val="8"/>
    <w:link w:val="3"/>
    <w:semiHidden/>
    <w:uiPriority w:val="99"/>
    <w:rPr>
      <w:rFonts w:ascii="Times New Roman" w:hAnsi="Times New Roman" w:eastAsia="宋体" w:cs="Times New Roman"/>
      <w:kern w:val="2"/>
      <w:sz w:val="18"/>
      <w:szCs w:val="18"/>
    </w:rPr>
  </w:style>
  <w:style w:type="character" w:customStyle="1" w:styleId="11">
    <w:name w:val="批注文字 字符"/>
    <w:basedOn w:val="8"/>
    <w:link w:val="2"/>
    <w:semiHidden/>
    <w:uiPriority w:val="99"/>
    <w:rPr>
      <w:rFonts w:ascii="Times New Roman" w:hAnsi="Times New Roman" w:eastAsia="宋体" w:cs="Times New Roman"/>
      <w:kern w:val="2"/>
      <w:sz w:val="21"/>
    </w:rPr>
  </w:style>
  <w:style w:type="character" w:customStyle="1" w:styleId="12">
    <w:name w:val="批注主题 字符"/>
    <w:basedOn w:val="11"/>
    <w:link w:val="6"/>
    <w:semiHidden/>
    <w:uiPriority w:val="99"/>
    <w:rPr>
      <w:rFonts w:ascii="Times New Roman" w:hAnsi="Times New Roman" w:eastAsia="宋体" w:cs="Times New Roman"/>
      <w:b/>
      <w:bCs/>
      <w:kern w:val="2"/>
      <w:sz w:val="21"/>
    </w:rPr>
  </w:style>
  <w:style w:type="paragraph" w:customStyle="1" w:styleId="13">
    <w:name w:val="修订1"/>
    <w:hidden/>
    <w:semiHidden/>
    <w:uiPriority w:val="99"/>
    <w:rPr>
      <w:rFonts w:ascii="Times New Roman" w:hAnsi="Times New Roman" w:eastAsia="宋体" w:cs="Times New Roman"/>
      <w:kern w:val="2"/>
      <w:sz w:val="21"/>
      <w:lang w:val="en-US" w:eastAsia="zh-CN" w:bidi="ar-SA"/>
    </w:rPr>
  </w:style>
  <w:style w:type="character" w:customStyle="1" w:styleId="14">
    <w:name w:val="页眉 字符"/>
    <w:basedOn w:val="8"/>
    <w:link w:val="5"/>
    <w:uiPriority w:val="99"/>
    <w:rPr>
      <w:rFonts w:ascii="Times New Roman" w:hAnsi="Times New Roman" w:eastAsia="宋体" w:cs="Times New Roman"/>
      <w:kern w:val="2"/>
      <w:sz w:val="18"/>
      <w:szCs w:val="18"/>
    </w:rPr>
  </w:style>
  <w:style w:type="character" w:customStyle="1" w:styleId="15">
    <w:name w:val="页脚 字符"/>
    <w:basedOn w:val="8"/>
    <w:link w:val="4"/>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Words>
  <Characters>1635</Characters>
  <Lines>13</Lines>
  <Paragraphs>3</Paragraphs>
  <TotalTime>5</TotalTime>
  <ScaleCrop>false</ScaleCrop>
  <LinksUpToDate>false</LinksUpToDate>
  <CharactersWithSpaces>1918</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2023-09-01T02:06:00Z</dcterms:created>
  <dc:creator>孙维敏</dc:creator>
  <cp:lastModifiedBy>YUYUE</cp:lastModifiedBy>
  <dcterms:modified xsi:type="dcterms:W3CDTF">2024-02-08T15:30:20Z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E182A2249E64ECD9871FBB65F1B32AD1_43</vt:lpwstr>
  </property>
</Properties>
</file>