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ind w:firstLine="3654" w:firstLineChars="1300"/>
        <w:rPr>
          <w:rFonts w:ascii="Arial" w:hAnsi="Arial" w:cs="Arial"/>
          <w:b/>
          <w:sz w:val="28"/>
          <w:szCs w:val="32"/>
        </w:rPr>
      </w:pPr>
      <w:r>
        <w:rPr>
          <w:rFonts w:hint="eastAsia" w:ascii="Arial" w:hAnsi="Arial" w:cs="Arial"/>
          <w:b/>
          <w:sz w:val="28"/>
          <w:szCs w:val="32"/>
        </w:rPr>
        <w:t>特别</w:t>
      </w:r>
      <w:r>
        <w:rPr>
          <w:rFonts w:ascii="Arial" w:hAnsi="Arial" w:cs="Arial"/>
          <w:b/>
          <w:sz w:val="28"/>
          <w:szCs w:val="32"/>
        </w:rPr>
        <w:t>约定</w:t>
      </w:r>
    </w:p>
    <w:p>
      <w:pPr>
        <w:pStyle w:val="4"/>
        <w:numPr>
          <w:numId w:val="0"/>
        </w:numPr>
        <w:ind w:leftChars="0" w:firstLine="3373" w:firstLineChars="1600"/>
        <w:rPr>
          <w:rFonts w:ascii="Arial" w:hAnsi="Arial" w:cs="Arial"/>
          <w:b/>
        </w:rPr>
      </w:pPr>
    </w:p>
    <w:p>
      <w:pPr>
        <w:pStyle w:val="4"/>
        <w:numPr>
          <w:ilvl w:val="0"/>
          <w:numId w:val="1"/>
        </w:numPr>
        <w:ind w:firstLineChars="0"/>
        <w:rPr>
          <w:rFonts w:ascii="Arial" w:hAnsi="Arial" w:cs="Arial"/>
        </w:rPr>
      </w:pPr>
      <w:r>
        <w:rPr>
          <w:rFonts w:hint="eastAsia" w:ascii="Arial" w:hAnsi="Arial" w:cs="Arial"/>
        </w:rPr>
        <w:t>被保险人的投保年龄为180天至65周岁，且身体健康，无缺陷，能正常工作、学习、生活。</w:t>
      </w:r>
    </w:p>
    <w:p>
      <w:pPr>
        <w:pStyle w:val="4"/>
        <w:numPr>
          <w:ilvl w:val="0"/>
          <w:numId w:val="1"/>
        </w:numPr>
        <w:ind w:firstLineChars="0"/>
        <w:rPr>
          <w:rFonts w:ascii="Arial" w:hAnsi="Arial" w:cs="Arial"/>
          <w:b/>
        </w:rPr>
      </w:pPr>
      <w:r>
        <w:rPr>
          <w:rFonts w:hint="eastAsia" w:ascii="Arial" w:hAnsi="Arial" w:cs="Arial"/>
          <w:b/>
        </w:rPr>
        <w:t>根据保监发〔2015〕90号的规定，对于父母为其未成年子女投保的人身保险，在被保险人成年之前，各保险合同约定的被保险人死亡给付的保险金额（包括在所有商业保险公司所购买的保险，但不包括投资连结保险、万能保险以及航空意外伤害保险）总和、被保险人死亡时各保险公司实际给付的保险金总和：投保年龄不满10周岁的，不得超过人民币20万元；投保年龄已满10周岁但未满18周岁的，不得超过人民币50万元，</w:t>
      </w:r>
      <w:bookmarkStart w:id="5" w:name="_GoBack"/>
      <w:bookmarkEnd w:id="5"/>
      <w:r>
        <w:rPr>
          <w:rFonts w:hint="eastAsia" w:ascii="Arial" w:hAnsi="Arial" w:cs="Arial"/>
          <w:b/>
        </w:rPr>
        <w:t>故对于被保险人的投保限额超过上述规定的，我司不再承保，若尚未达到限额的，保险人仅就差额部分进行承保。</w:t>
      </w:r>
    </w:p>
    <w:p>
      <w:pPr>
        <w:pStyle w:val="4"/>
        <w:numPr>
          <w:ilvl w:val="0"/>
          <w:numId w:val="1"/>
        </w:numPr>
        <w:ind w:firstLineChars="0"/>
        <w:rPr>
          <w:rFonts w:ascii="Arial" w:hAnsi="Arial" w:cs="Arial"/>
          <w:b/>
          <w:bCs/>
        </w:rPr>
      </w:pPr>
      <w:r>
        <w:rPr>
          <w:rFonts w:hint="eastAsia" w:ascii="Arial" w:hAnsi="Arial" w:cs="Arial"/>
          <w:b/>
          <w:bCs/>
        </w:rPr>
        <w:t>【猝死】指貌似健康的人因潜在疾病、机能障碍或其他原因在出现症状后</w:t>
      </w:r>
      <w:r>
        <w:rPr>
          <w:rFonts w:ascii="Arial" w:hAnsi="Arial" w:cs="Arial"/>
          <w:b/>
          <w:bCs/>
        </w:rPr>
        <w:t>6</w:t>
      </w:r>
      <w:r>
        <w:rPr>
          <w:rFonts w:hint="eastAsia" w:ascii="Arial" w:hAnsi="Arial" w:cs="Arial"/>
          <w:b/>
          <w:bCs/>
        </w:rPr>
        <w:t>小时内发生的非暴力性突然死亡，属于疾病身故。猝死的认定，如有公安机关、检察院、法院等司法机关的法律文件、医疗机构的诊断书等，则以上述法律文件、诊断书等为准。猝死责任无等待期，但既往病症及其并发症导致的猝死属于除外责任。</w:t>
      </w:r>
    </w:p>
    <w:p>
      <w:pPr>
        <w:pStyle w:val="4"/>
        <w:numPr>
          <w:ilvl w:val="0"/>
          <w:numId w:val="1"/>
        </w:numPr>
        <w:ind w:firstLineChars="0"/>
        <w:rPr>
          <w:rFonts w:ascii="Arial" w:hAnsi="Arial" w:cs="Arial"/>
        </w:rPr>
      </w:pPr>
      <w:r>
        <w:rPr>
          <w:rFonts w:hint="eastAsia" w:ascii="Arial" w:hAnsi="Arial" w:cs="Arial"/>
        </w:rPr>
        <w:t>救护车责任：若被保险人在中华人民共和国境内（不含香港、澳门和台湾地区）因意外伤害事故，并自该事故发生之时起24小时内发生的合理、必要的救护车费用，保险人以保险单上载明的保险金额为限，按实际支出赔偿救护车及担架费用。</w:t>
      </w:r>
    </w:p>
    <w:p>
      <w:pPr>
        <w:pStyle w:val="4"/>
        <w:numPr>
          <w:ilvl w:val="0"/>
          <w:numId w:val="1"/>
        </w:numPr>
        <w:ind w:firstLineChars="0"/>
        <w:rPr>
          <w:rFonts w:ascii="Arial" w:hAnsi="Arial" w:cs="Arial"/>
        </w:rPr>
      </w:pPr>
      <w:r>
        <w:rPr>
          <w:rFonts w:hint="eastAsia" w:ascii="Arial" w:hAnsi="Arial" w:cs="Arial"/>
        </w:rPr>
        <w:t>本保单项下意外医疗保险责任承保已支出的必需且合理的实际医疗费用，含中草药医疗费用，且不限社保用药，保单上所列保险金额为单次事故赔偿限额。</w:t>
      </w:r>
    </w:p>
    <w:p>
      <w:pPr>
        <w:pStyle w:val="4"/>
        <w:numPr>
          <w:ilvl w:val="0"/>
          <w:numId w:val="1"/>
        </w:numPr>
        <w:ind w:firstLineChars="0"/>
        <w:rPr>
          <w:rFonts w:ascii="Arial" w:hAnsi="Arial" w:cs="Arial"/>
        </w:rPr>
      </w:pPr>
      <w:r>
        <w:rPr>
          <w:rFonts w:hint="eastAsia" w:ascii="Arial" w:hAnsi="Arial" w:cs="Arial"/>
        </w:rPr>
        <w:t>此保险计划仅承保在最近一年内在中华人民共和国境内（不包含香港，澳门和台湾）居住满183天的人员。</w:t>
      </w:r>
    </w:p>
    <w:p>
      <w:pPr>
        <w:pStyle w:val="4"/>
        <w:numPr>
          <w:ilvl w:val="0"/>
          <w:numId w:val="1"/>
        </w:numPr>
        <w:ind w:firstLineChars="0"/>
        <w:rPr>
          <w:rFonts w:ascii="Arial" w:hAnsi="Arial" w:cs="Arial"/>
        </w:rPr>
      </w:pPr>
      <w:r>
        <w:rPr>
          <w:rFonts w:hint="eastAsia" w:ascii="Arial" w:hAnsi="Arial" w:cs="Arial"/>
        </w:rPr>
        <w:t>本保险对应的职业类别详见</w:t>
      </w:r>
      <w:r>
        <w:fldChar w:fldCharType="begin"/>
      </w:r>
      <w:r>
        <w:instrText xml:space="preserve"> HYPERLINK "https://file.700du.cn/productDatafile/1594628981/2020-07-131594628981.xls" \t "https://www.700du.cn/front/product/toProduct/_self" \o "星享百万职业1-4类.xls" </w:instrText>
      </w:r>
      <w:r>
        <w:fldChar w:fldCharType="separate"/>
      </w:r>
      <w:r>
        <w:rPr>
          <w:rFonts w:hint="eastAsia" w:ascii="Arial" w:hAnsi="Arial" w:cs="Arial"/>
        </w:rPr>
        <w:t>《安盛天平职业分类表》</w:t>
      </w:r>
      <w:r>
        <w:rPr>
          <w:rFonts w:hint="eastAsia" w:ascii="Arial" w:hAnsi="Arial" w:cs="Arial"/>
        </w:rPr>
        <w:fldChar w:fldCharType="end"/>
      </w:r>
      <w:r>
        <w:rPr>
          <w:rFonts w:hint="eastAsia" w:ascii="Arial" w:hAnsi="Arial" w:cs="Arial"/>
        </w:rPr>
        <w:t>，其中职业类别从1-4类，代表职业类别的风险逐级递增。如投保时被保险人同时从事多项职业的，投保人应按被保险人所有职业中在《安盛天平职业分类表》中对应风险等级最高的职业作为投保职业。</w:t>
      </w:r>
    </w:p>
    <w:p>
      <w:pPr>
        <w:pStyle w:val="4"/>
        <w:numPr>
          <w:ilvl w:val="0"/>
          <w:numId w:val="1"/>
        </w:numPr>
        <w:ind w:firstLineChars="0"/>
        <w:rPr>
          <w:rFonts w:ascii="Arial" w:hAnsi="Arial" w:cs="Arial"/>
          <w:b/>
          <w:bCs/>
        </w:rPr>
      </w:pPr>
      <w:r>
        <w:rPr>
          <w:rFonts w:hint="eastAsia" w:ascii="Arial" w:hAnsi="Arial" w:cs="Arial"/>
          <w:b/>
          <w:bCs/>
        </w:rPr>
        <w:t>投保人应向保险人如实告知被保险人职业类别。未在保险计划中列明或可选的职业类别，应视为该职业不属于保险人的承保范围。</w:t>
      </w:r>
    </w:p>
    <w:p>
      <w:pPr>
        <w:pStyle w:val="4"/>
        <w:numPr>
          <w:ilvl w:val="0"/>
          <w:numId w:val="1"/>
        </w:numPr>
        <w:ind w:firstLineChars="0"/>
        <w:rPr>
          <w:rFonts w:ascii="Arial" w:hAnsi="Arial" w:cs="Arial"/>
          <w:b/>
          <w:bCs/>
        </w:rPr>
      </w:pPr>
      <w:r>
        <w:rPr>
          <w:rFonts w:hint="eastAsia" w:ascii="Arial" w:hAnsi="Arial" w:cs="Arial"/>
          <w:b/>
          <w:bCs/>
        </w:rPr>
        <w:t>计划A至</w:t>
      </w:r>
      <w:r>
        <w:rPr>
          <w:rFonts w:ascii="Arial" w:hAnsi="Arial" w:cs="Arial"/>
          <w:b/>
          <w:bCs/>
        </w:rPr>
        <w:t>D</w:t>
      </w:r>
      <w:r>
        <w:rPr>
          <w:rFonts w:hint="eastAsia" w:ascii="Arial" w:hAnsi="Arial" w:cs="Arial"/>
          <w:b/>
          <w:bCs/>
        </w:rPr>
        <w:t>仅承保1-4类职业、“家庭主妇”以及“离退休人员”。#</w:t>
      </w:r>
      <w:r>
        <w:rPr>
          <w:rFonts w:ascii="Arial" w:hAnsi="Arial" w:cs="Arial"/>
          <w:b/>
          <w:bCs/>
        </w:rPr>
        <w:t>9885</w:t>
      </w:r>
    </w:p>
    <w:p>
      <w:pPr>
        <w:pStyle w:val="4"/>
        <w:numPr>
          <w:ilvl w:val="0"/>
          <w:numId w:val="1"/>
        </w:numPr>
        <w:ind w:firstLineChars="0"/>
        <w:rPr>
          <w:rFonts w:ascii="Arial" w:hAnsi="Arial" w:cs="Arial"/>
          <w:b/>
          <w:bCs/>
        </w:rPr>
      </w:pPr>
      <w:r>
        <w:rPr>
          <w:rFonts w:hint="eastAsia" w:ascii="Arial" w:hAnsi="Arial" w:cs="Arial"/>
          <w:b/>
          <w:bCs/>
        </w:rPr>
        <w:t>计划E、F仅适用于年度应税薪金收入(包括工资、奖金、不包括投资收入等非劳务所得)不低于人民币</w:t>
      </w:r>
      <w:r>
        <w:rPr>
          <w:rFonts w:ascii="Arial" w:hAnsi="Arial" w:cs="Arial"/>
          <w:b/>
          <w:bCs/>
        </w:rPr>
        <w:t>2</w:t>
      </w:r>
      <w:r>
        <w:rPr>
          <w:rFonts w:hint="eastAsia" w:ascii="Arial" w:hAnsi="Arial" w:cs="Arial"/>
          <w:b/>
          <w:bCs/>
        </w:rPr>
        <w:t>0万元的且职业类别为1-2类的从业人员投保。对于计划E、F，被保险人在申请“意外身故、残疾”和“意外每日住院津贴”责任的索赔时，应提供税务机关出具的被保险人投保时前一年度应税薪金收入（包括工资、奖金、不包括投资收入等非劳务所得）纳税证明，否则保险人不承担保险责任。#</w:t>
      </w:r>
      <w:r>
        <w:rPr>
          <w:rFonts w:ascii="Arial" w:hAnsi="Arial" w:cs="Arial"/>
          <w:b/>
          <w:bCs/>
        </w:rPr>
        <w:t>9905</w:t>
      </w:r>
    </w:p>
    <w:p>
      <w:pPr>
        <w:pStyle w:val="4"/>
        <w:numPr>
          <w:ilvl w:val="0"/>
          <w:numId w:val="1"/>
        </w:numPr>
        <w:ind w:firstLineChars="0"/>
        <w:rPr>
          <w:rFonts w:ascii="Arial" w:hAnsi="Arial" w:cs="Arial"/>
        </w:rPr>
      </w:pPr>
      <w:r>
        <w:rPr>
          <w:rFonts w:hint="eastAsia" w:ascii="Arial" w:hAnsi="Arial" w:cs="Arial"/>
        </w:rPr>
        <w:t>本保险限购一份，多投无效；若被保险人在保单有效期内自愿投保由保险人承保的多种保险（不包括团体意外险及旅行保险），且在不同保险保险或同一保险保险的不同计划中有相同保障或相同保险利益的，保险人仅按相同保障或相同保险利益在保险金额最高者做出赔偿，并退还其他保险或计划项下已收取的相应保障或保险利益的保险费。</w:t>
      </w:r>
    </w:p>
    <w:p>
      <w:pPr>
        <w:pStyle w:val="4"/>
        <w:numPr>
          <w:ilvl w:val="0"/>
          <w:numId w:val="1"/>
        </w:numPr>
        <w:ind w:firstLineChars="0"/>
        <w:rPr>
          <w:rFonts w:ascii="Arial" w:hAnsi="Arial" w:cs="Arial"/>
          <w:b/>
          <w:bCs/>
        </w:rPr>
      </w:pPr>
      <w:r>
        <w:rPr>
          <w:rFonts w:hint="eastAsia" w:ascii="Arial" w:hAnsi="Arial" w:cs="Arial"/>
          <w:b/>
          <w:bCs/>
        </w:rPr>
        <w:t>本保险中医疗相关保障限定为在中华人民共和国境内合法经营的二级以上（含二级）公立医院普通部（不含特需门诊</w:t>
      </w:r>
      <w:r>
        <w:rPr>
          <w:rFonts w:ascii="Arial" w:hAnsi="Arial" w:cs="Arial"/>
          <w:b/>
          <w:bCs/>
        </w:rPr>
        <w:t>/</w:t>
      </w:r>
      <w:r>
        <w:rPr>
          <w:rFonts w:hint="eastAsia" w:ascii="Arial" w:hAnsi="Arial" w:cs="Arial"/>
          <w:b/>
          <w:bCs/>
        </w:rPr>
        <w:t>病房、国际医疗部或同类门诊</w:t>
      </w:r>
      <w:r>
        <w:rPr>
          <w:rFonts w:ascii="Arial" w:hAnsi="Arial" w:cs="Arial"/>
          <w:b/>
          <w:bCs/>
        </w:rPr>
        <w:t>/</w:t>
      </w:r>
      <w:r>
        <w:rPr>
          <w:rFonts w:hint="eastAsia" w:ascii="Arial" w:hAnsi="Arial" w:cs="Arial"/>
          <w:b/>
          <w:bCs/>
        </w:rPr>
        <w:t>病房）或保险人认可的其他医疗机构中发生的医疗费用，但本保险不承保在下列医院发生的治疗费用，并且不予给付在下列医院住院的住院津贴：</w:t>
      </w:r>
      <w:r>
        <w:rPr>
          <w:rFonts w:ascii="Arial" w:hAnsi="Arial" w:cs="Arial"/>
          <w:b/>
          <w:bCs/>
        </w:rPr>
        <w:t>1</w:t>
      </w:r>
      <w:r>
        <w:rPr>
          <w:rFonts w:hint="eastAsia" w:ascii="Arial" w:hAnsi="Arial" w:cs="Arial"/>
          <w:b/>
          <w:bCs/>
        </w:rPr>
        <w:t>）河北省邯郸市馆陶县人民医院、承德市兴隆县人民医院、元氏县中医院；</w:t>
      </w:r>
      <w:r>
        <w:rPr>
          <w:rFonts w:ascii="Arial" w:hAnsi="Arial" w:cs="Arial"/>
          <w:b/>
          <w:bCs/>
        </w:rPr>
        <w:t>2</w:t>
      </w:r>
      <w:r>
        <w:rPr>
          <w:rFonts w:hint="eastAsia" w:ascii="Arial" w:hAnsi="Arial" w:cs="Arial"/>
          <w:b/>
          <w:bCs/>
        </w:rPr>
        <w:t>）河南省内黄县第二人民医院、内黄县人民医院、内黄县中医院、新乡市中医院、新乡市第二人民医院、焦作市第五人民医院、焦作市人民医院、河南许昌县人民医院、河南濮阳县第二人民医院、濮阳市中医医院、河南省开封市通许人民医院、开封市第二中医院、开封市人民医院、开封市中心医院、开封市中医院、登封市妇幼保健院、登封市中医院、登封市人民医院、通许第一医院、通许县中心医院、通许县中医院、郏县妇幼保健院、郏县中医院、郏县第一人民医院、商水县人民医院、河南省尉氏县中医院、临颍县中医医院、原阳县人民医院、原阳县中医院、原阳县中心医院、延津县人民医院、平顶山第二人民医院、上蔡县人民医院、河南大学第一附属医院、河南大学淮河医院；</w:t>
      </w:r>
      <w:r>
        <w:rPr>
          <w:rFonts w:ascii="Arial" w:hAnsi="Arial" w:cs="Arial"/>
          <w:b/>
          <w:bCs/>
        </w:rPr>
        <w:t>3</w:t>
      </w:r>
      <w:r>
        <w:rPr>
          <w:rFonts w:hint="eastAsia" w:ascii="Arial" w:hAnsi="Arial" w:cs="Arial"/>
          <w:b/>
          <w:bCs/>
        </w:rPr>
        <w:t>）山东省莱州市人民医院、莱州市中医院、莱州市郭家店中心卫生院、滨州市中心医院、烟台市中医院、鱼台县人民医院、栖霞市所有医院、威海市（除威海市立医院）所有医院；</w:t>
      </w:r>
      <w:r>
        <w:rPr>
          <w:rFonts w:ascii="Arial" w:hAnsi="Arial" w:cs="Arial"/>
          <w:b/>
          <w:bCs/>
        </w:rPr>
        <w:t>4</w:t>
      </w:r>
      <w:r>
        <w:rPr>
          <w:rFonts w:hint="eastAsia" w:ascii="Arial" w:hAnsi="Arial" w:cs="Arial"/>
          <w:b/>
          <w:bCs/>
        </w:rPr>
        <w:t>）北京市的平谷区、密云区、怀柔区所有医院；</w:t>
      </w:r>
      <w:r>
        <w:rPr>
          <w:rFonts w:ascii="Arial" w:hAnsi="Arial" w:cs="Arial"/>
          <w:b/>
          <w:bCs/>
        </w:rPr>
        <w:t>5</w:t>
      </w:r>
      <w:r>
        <w:rPr>
          <w:rFonts w:hint="eastAsia" w:ascii="Arial" w:hAnsi="Arial" w:cs="Arial"/>
          <w:b/>
          <w:bCs/>
        </w:rPr>
        <w:t>）四川省宜宾市所有医院、四川省的雅安市雨城区人民医院、雅安市第二人民医院、夹江县人民医院；</w:t>
      </w:r>
      <w:r>
        <w:rPr>
          <w:rFonts w:ascii="Arial" w:hAnsi="Arial" w:cs="Arial"/>
          <w:b/>
          <w:bCs/>
        </w:rPr>
        <w:t>6</w:t>
      </w:r>
      <w:r>
        <w:rPr>
          <w:rFonts w:hint="eastAsia" w:ascii="Arial" w:hAnsi="Arial" w:cs="Arial"/>
          <w:b/>
          <w:bCs/>
        </w:rPr>
        <w:t>）吉林省四平市第一人民医院、吉林省四平市梨树县第一人民医院、吉林省四平市中医医院、长春市中心医院；</w:t>
      </w:r>
      <w:r>
        <w:rPr>
          <w:rFonts w:ascii="Arial" w:hAnsi="Arial" w:cs="Arial"/>
          <w:b/>
          <w:bCs/>
        </w:rPr>
        <w:t>7</w:t>
      </w:r>
      <w:r>
        <w:rPr>
          <w:rFonts w:hint="eastAsia" w:ascii="Arial" w:hAnsi="Arial" w:cs="Arial"/>
          <w:b/>
          <w:bCs/>
        </w:rPr>
        <w:t>）福建中医药大学附属南平人民医院、福建医科大学附属南平第一医院、龙岩市永定区中医院；</w:t>
      </w:r>
      <w:r>
        <w:rPr>
          <w:rFonts w:ascii="Arial" w:hAnsi="Arial" w:cs="Arial"/>
          <w:b/>
          <w:bCs/>
        </w:rPr>
        <w:t>8</w:t>
      </w:r>
      <w:r>
        <w:rPr>
          <w:rFonts w:hint="eastAsia" w:ascii="Arial" w:hAnsi="Arial" w:cs="Arial"/>
          <w:b/>
          <w:bCs/>
        </w:rPr>
        <w:t>）安徽省宿州中煤矿建总医院、皖北煤电集团总医院；</w:t>
      </w:r>
      <w:r>
        <w:rPr>
          <w:rFonts w:ascii="Arial" w:hAnsi="Arial" w:cs="Arial"/>
          <w:b/>
          <w:bCs/>
        </w:rPr>
        <w:t>9</w:t>
      </w:r>
      <w:r>
        <w:rPr>
          <w:rFonts w:hint="eastAsia" w:ascii="Arial" w:hAnsi="Arial" w:cs="Arial"/>
          <w:b/>
          <w:bCs/>
        </w:rPr>
        <w:t>）甘肃省宁县人民医院；</w:t>
      </w:r>
      <w:r>
        <w:rPr>
          <w:rFonts w:ascii="Arial" w:hAnsi="Arial" w:cs="Arial"/>
          <w:b/>
          <w:bCs/>
        </w:rPr>
        <w:t>10</w:t>
      </w:r>
      <w:r>
        <w:rPr>
          <w:rFonts w:hint="eastAsia" w:ascii="Arial" w:hAnsi="Arial" w:cs="Arial"/>
          <w:b/>
          <w:bCs/>
        </w:rPr>
        <w:t>）湖南省岳阳市中医医院；</w:t>
      </w:r>
      <w:r>
        <w:rPr>
          <w:rFonts w:ascii="Arial" w:hAnsi="Arial" w:cs="Arial"/>
          <w:b/>
          <w:bCs/>
        </w:rPr>
        <w:t>11</w:t>
      </w:r>
      <w:r>
        <w:rPr>
          <w:rFonts w:hint="eastAsia" w:ascii="Arial" w:hAnsi="Arial" w:cs="Arial"/>
          <w:b/>
          <w:bCs/>
        </w:rPr>
        <w:t>）贵州省第二人民医院；</w:t>
      </w:r>
      <w:r>
        <w:rPr>
          <w:rFonts w:ascii="Arial" w:hAnsi="Arial" w:cs="Arial"/>
          <w:b/>
          <w:bCs/>
        </w:rPr>
        <w:t>12</w:t>
      </w:r>
      <w:r>
        <w:rPr>
          <w:rFonts w:hint="eastAsia" w:ascii="Arial" w:hAnsi="Arial" w:cs="Arial"/>
          <w:b/>
          <w:bCs/>
        </w:rPr>
        <w:t>）重庆市奉节县中医院；</w:t>
      </w:r>
      <w:r>
        <w:rPr>
          <w:rFonts w:ascii="Arial" w:hAnsi="Arial" w:cs="Arial"/>
          <w:b/>
          <w:bCs/>
        </w:rPr>
        <w:t>13</w:t>
      </w:r>
      <w:r>
        <w:rPr>
          <w:rFonts w:hint="eastAsia" w:ascii="Arial" w:hAnsi="Arial" w:cs="Arial"/>
          <w:b/>
          <w:bCs/>
        </w:rPr>
        <w:t>）内蒙古宁城县中医蒙医医院；</w:t>
      </w:r>
      <w:r>
        <w:rPr>
          <w:rFonts w:ascii="Arial" w:hAnsi="Arial" w:cs="Arial"/>
          <w:b/>
          <w:bCs/>
        </w:rPr>
        <w:t>14</w:t>
      </w:r>
      <w:r>
        <w:rPr>
          <w:rFonts w:hint="eastAsia" w:ascii="Arial" w:hAnsi="Arial" w:cs="Arial"/>
          <w:b/>
          <w:bCs/>
        </w:rPr>
        <w:t>）江苏省徐州第三人民医院、徐州中心医院、徐州第六人民医院。</w:t>
      </w:r>
    </w:p>
    <w:p>
      <w:pPr>
        <w:pStyle w:val="4"/>
        <w:numPr>
          <w:ilvl w:val="0"/>
          <w:numId w:val="1"/>
        </w:numPr>
        <w:ind w:firstLineChars="0"/>
        <w:rPr>
          <w:rFonts w:ascii="Arial" w:hAnsi="Arial" w:cs="Arial"/>
        </w:rPr>
      </w:pPr>
      <w:r>
        <w:rPr>
          <w:rFonts w:hint="eastAsia" w:ascii="Arial" w:hAnsi="Arial" w:cs="Arial"/>
        </w:rPr>
        <w:t>本保险承保以下旅游期间的户外运动过程中发生的保险责任：海拔5000米以下的休闲旅游、远足徒步、登山运动、露营、固定路线洞穴体验；定向运动、拓展活动、场地趣味活动；游泳、潜水（下潜深度不超过18米）、溯溪、划船、帆船、帆板、皮划艇、漂流；人工场地攀岩及下降、滑雪运动；骑马游玩、马术培训。</w:t>
      </w:r>
    </w:p>
    <w:p>
      <w:pPr>
        <w:pStyle w:val="4"/>
        <w:numPr>
          <w:ilvl w:val="0"/>
          <w:numId w:val="1"/>
        </w:numPr>
        <w:ind w:firstLineChars="0"/>
        <w:rPr>
          <w:rFonts w:ascii="Arial" w:hAnsi="Arial" w:cs="Arial"/>
          <w:b/>
        </w:rPr>
      </w:pPr>
      <w:r>
        <w:rPr>
          <w:rFonts w:hint="eastAsia" w:ascii="Arial" w:hAnsi="Arial" w:cs="Arial"/>
          <w:b/>
        </w:rPr>
        <w:t>本保险不承保：任何种类的速度竞赛或比赛（徒步除外）、竞技性冬季运动、极限运动，海拔5000米以上的攀登、滑雪、高山滑翔、极地探险，非固定路线洞穴探险、跳伞、空中跳跃、狩猎、蹦极、潜水（下潜深度超过18米），摔跤、柔道、空手道、跆拳道、马术、武术、拳击的运动或特技表演。</w:t>
      </w:r>
    </w:p>
    <w:p>
      <w:pPr>
        <w:pStyle w:val="4"/>
        <w:numPr>
          <w:ilvl w:val="0"/>
          <w:numId w:val="1"/>
        </w:numPr>
        <w:ind w:firstLineChars="0"/>
        <w:rPr>
          <w:rFonts w:ascii="Arial" w:hAnsi="Arial" w:cs="Arial"/>
          <w:b/>
        </w:rPr>
      </w:pPr>
      <w:r>
        <w:rPr>
          <w:rFonts w:hint="eastAsia" w:ascii="Arial" w:hAnsi="Arial" w:cs="Arial"/>
          <w:b/>
        </w:rPr>
        <w:t>本保险不承保任何职业或半职业的体育运动及有奖金的赛事活动。</w:t>
      </w:r>
    </w:p>
    <w:p>
      <w:pPr>
        <w:pStyle w:val="4"/>
        <w:numPr>
          <w:ilvl w:val="0"/>
          <w:numId w:val="1"/>
        </w:numPr>
        <w:ind w:firstLineChars="0"/>
        <w:rPr>
          <w:rFonts w:ascii="Arial" w:hAnsi="Arial" w:cs="Arial"/>
          <w:b/>
        </w:rPr>
      </w:pPr>
      <w:r>
        <w:rPr>
          <w:rFonts w:hint="eastAsia" w:ascii="Arial" w:hAnsi="Arial" w:cs="Arial"/>
          <w:b/>
        </w:rPr>
        <w:t>被保险人若有任何职业变更，须于10天内以书面方式通知保险人以作调整。未如实告知职业的，保险人有权据此解除保险合同乃至拒赔。</w:t>
      </w:r>
    </w:p>
    <w:p>
      <w:pPr>
        <w:pStyle w:val="4"/>
        <w:numPr>
          <w:ilvl w:val="0"/>
          <w:numId w:val="1"/>
        </w:numPr>
        <w:ind w:firstLineChars="0"/>
        <w:rPr>
          <w:rFonts w:ascii="Arial" w:hAnsi="Arial" w:cs="Arial"/>
          <w:b/>
        </w:rPr>
      </w:pPr>
      <w:bookmarkStart w:id="0" w:name="OLE_LINK2"/>
      <w:bookmarkStart w:id="1" w:name="OLE_LINK1"/>
      <w:r>
        <w:rPr>
          <w:rFonts w:hint="eastAsia" w:ascii="Arial" w:hAnsi="Arial" w:cs="Arial"/>
          <w:b/>
        </w:rPr>
        <w:t xml:space="preserve">下列期间或情形下不论任何原因导致的费用、损失，保险人不负赔偿责任： </w:t>
      </w:r>
    </w:p>
    <w:p>
      <w:pPr>
        <w:pStyle w:val="4"/>
        <w:ind w:left="360" w:firstLine="0" w:firstLineChars="0"/>
        <w:rPr>
          <w:rFonts w:ascii="Arial" w:hAnsi="Arial" w:cs="Arial"/>
          <w:b/>
        </w:rPr>
      </w:pPr>
      <w:r>
        <w:rPr>
          <w:rFonts w:hint="eastAsia" w:ascii="Arial" w:hAnsi="Arial" w:cs="Arial"/>
          <w:b/>
        </w:rPr>
        <w:t>(1) 任何原因进行的牙齿保养、牙齿修复、牙齿整形或牙齿植种；非因意外事故进行的任何牙科检查、治疗或手术，以及任何进食活动</w:t>
      </w:r>
      <w:r>
        <w:rPr>
          <w:rFonts w:ascii="Arial" w:hAnsi="Arial" w:cs="Arial"/>
          <w:b/>
        </w:rPr>
        <w:t>(</w:t>
      </w:r>
      <w:r>
        <w:rPr>
          <w:rFonts w:hint="eastAsia" w:ascii="Arial" w:hAnsi="Arial" w:cs="Arial"/>
          <w:b/>
        </w:rPr>
        <w:t>包括咀嚼或啃咬</w:t>
      </w:r>
      <w:r>
        <w:rPr>
          <w:rFonts w:ascii="Arial" w:hAnsi="Arial" w:cs="Arial"/>
          <w:b/>
        </w:rPr>
        <w:t>)</w:t>
      </w:r>
      <w:r>
        <w:rPr>
          <w:rFonts w:hint="eastAsia" w:ascii="Arial" w:hAnsi="Arial" w:cs="Arial"/>
          <w:b/>
        </w:rPr>
        <w:t>引发的牙科治疗；对非自然牙进行的任何治疗。</w:t>
      </w:r>
      <w:r>
        <w:rPr>
          <w:rFonts w:ascii="Arial" w:hAnsi="Arial" w:cs="Arial"/>
          <w:b/>
        </w:rPr>
        <w:t xml:space="preserve"> </w:t>
      </w:r>
    </w:p>
    <w:p>
      <w:pPr>
        <w:pStyle w:val="4"/>
        <w:ind w:left="360" w:firstLine="0" w:firstLineChars="0"/>
        <w:rPr>
          <w:rFonts w:ascii="Arial" w:hAnsi="Arial" w:cs="Arial"/>
          <w:b/>
        </w:rPr>
      </w:pPr>
      <w:r>
        <w:rPr>
          <w:rFonts w:ascii="Arial" w:hAnsi="Arial" w:cs="Arial"/>
          <w:b/>
        </w:rPr>
        <w:t>(2)</w:t>
      </w:r>
      <w:r>
        <w:rPr>
          <w:rFonts w:hint="eastAsia" w:ascii="Arial" w:hAnsi="Arial" w:cs="Arial"/>
          <w:b/>
        </w:rPr>
        <w:t>任何传统中医治疗。传统中医治疗包括但不限于推拿、按摩、指压治疗、足科治疗、营养师治疗、理疗、针法、灸法、针灸、顺外治疗、整骨治疗。</w:t>
      </w:r>
      <w:r>
        <w:rPr>
          <w:rFonts w:ascii="Arial" w:hAnsi="Arial" w:cs="Arial"/>
          <w:b/>
        </w:rPr>
        <w:t xml:space="preserve"> </w:t>
      </w:r>
    </w:p>
    <w:p>
      <w:pPr>
        <w:pStyle w:val="4"/>
        <w:ind w:left="360" w:firstLine="0" w:firstLineChars="0"/>
        <w:rPr>
          <w:rFonts w:ascii="Arial" w:hAnsi="Arial" w:cs="Arial"/>
          <w:b/>
        </w:rPr>
      </w:pPr>
      <w:r>
        <w:rPr>
          <w:rFonts w:ascii="Arial" w:hAnsi="Arial" w:cs="Arial"/>
          <w:b/>
        </w:rPr>
        <w:t xml:space="preserve">(3) </w:t>
      </w:r>
      <w:r>
        <w:rPr>
          <w:rFonts w:hint="eastAsia" w:ascii="Arial" w:hAnsi="Arial" w:cs="Arial"/>
          <w:b/>
        </w:rPr>
        <w:t>营养费、康复费、整容费、美容费、修复手术费、交通费、伙食费、误工费、丧葬费等费用。</w:t>
      </w:r>
    </w:p>
    <w:p>
      <w:pPr>
        <w:pStyle w:val="4"/>
        <w:ind w:left="360" w:firstLine="0" w:firstLineChars="0"/>
        <w:rPr>
          <w:rFonts w:ascii="Arial" w:hAnsi="Arial" w:cs="Arial"/>
          <w:b/>
        </w:rPr>
      </w:pPr>
      <w:r>
        <w:rPr>
          <w:rFonts w:ascii="Arial" w:hAnsi="Arial" w:cs="Arial"/>
          <w:b/>
        </w:rPr>
        <w:t xml:space="preserve">(4) </w:t>
      </w:r>
      <w:r>
        <w:rPr>
          <w:rFonts w:hint="eastAsia" w:ascii="Arial" w:hAnsi="Arial" w:cs="Arial"/>
          <w:b/>
        </w:rPr>
        <w:t>任何自然产生的状况、衰老退化现象及渐进过程。</w:t>
      </w:r>
    </w:p>
    <w:p>
      <w:pPr>
        <w:pStyle w:val="4"/>
        <w:ind w:left="360" w:firstLine="0" w:firstLineChars="0"/>
        <w:rPr>
          <w:b/>
        </w:rPr>
      </w:pPr>
      <w:r>
        <w:rPr>
          <w:rFonts w:hint="eastAsia"/>
          <w:b/>
        </w:rPr>
        <w:t>(</w:t>
      </w:r>
      <w:r>
        <w:rPr>
          <w:b/>
        </w:rPr>
        <w:t xml:space="preserve">5) </w:t>
      </w:r>
      <w:r>
        <w:rPr>
          <w:rFonts w:hint="eastAsia"/>
          <w:b/>
        </w:rPr>
        <w:t>因脊椎间盘疾病造成的医疗费用。</w:t>
      </w:r>
    </w:p>
    <w:p>
      <w:pPr>
        <w:pStyle w:val="4"/>
        <w:numPr>
          <w:ilvl w:val="0"/>
          <w:numId w:val="1"/>
        </w:numPr>
        <w:ind w:firstLineChars="0"/>
        <w:rPr>
          <w:rFonts w:ascii="Arial" w:hAnsi="Arial" w:cs="Arial"/>
          <w:b/>
          <w:bCs/>
        </w:rPr>
      </w:pPr>
      <w:r>
        <w:rPr>
          <w:rFonts w:hint="eastAsia" w:ascii="Arial" w:hAnsi="Arial" w:cs="Arial"/>
          <w:b/>
        </w:rPr>
        <w:t>意外每日住院津贴：次免赔天数</w:t>
      </w:r>
      <w:r>
        <w:rPr>
          <w:rFonts w:ascii="Arial" w:hAnsi="Arial" w:cs="Arial"/>
          <w:b/>
        </w:rPr>
        <w:t>3</w:t>
      </w:r>
      <w:r>
        <w:rPr>
          <w:rFonts w:hint="eastAsia" w:ascii="Arial" w:hAnsi="Arial" w:cs="Arial"/>
          <w:b/>
        </w:rPr>
        <w:t>天。</w:t>
      </w:r>
      <w:bookmarkEnd w:id="0"/>
      <w:bookmarkEnd w:id="1"/>
      <w:bookmarkStart w:id="2" w:name="_Hlk142560716"/>
      <w:r>
        <w:rPr>
          <w:rFonts w:hint="eastAsia" w:ascii="Arial" w:hAnsi="Arial" w:cs="Arial"/>
          <w:b/>
          <w:bCs/>
        </w:rPr>
        <w:t>无需手术治疗的住院，保险年度内仅可赔付一次，且最长给付天数为</w:t>
      </w:r>
      <w:r>
        <w:rPr>
          <w:rFonts w:ascii="Arial" w:hAnsi="Arial" w:cs="Arial"/>
          <w:b/>
          <w:bCs/>
        </w:rPr>
        <w:t>7</w:t>
      </w:r>
      <w:r>
        <w:rPr>
          <w:rFonts w:hint="eastAsia" w:ascii="Arial" w:hAnsi="Arial" w:cs="Arial"/>
          <w:b/>
          <w:bCs/>
        </w:rPr>
        <w:t>天。</w:t>
      </w:r>
      <w:bookmarkEnd w:id="2"/>
      <w:r>
        <w:rPr>
          <w:rFonts w:hint="eastAsia" w:ascii="Arial" w:hAnsi="Arial" w:cs="Arial"/>
          <w:b/>
          <w:bCs/>
        </w:rPr>
        <w:t>对被保险人任意一天的住院治疗，保险人仅按照意外每日住院津贴保险金或意外重症监护每日住院津贴保险金其中一项给付。</w:t>
      </w:r>
    </w:p>
    <w:p>
      <w:pPr>
        <w:pStyle w:val="4"/>
        <w:numPr>
          <w:ilvl w:val="0"/>
          <w:numId w:val="1"/>
        </w:numPr>
        <w:ind w:firstLineChars="0"/>
        <w:rPr>
          <w:rFonts w:ascii="Arial" w:hAnsi="Arial" w:cs="Arial"/>
          <w:b/>
        </w:rPr>
      </w:pPr>
      <w:r>
        <w:rPr>
          <w:rFonts w:hint="eastAsia" w:ascii="Arial" w:hAnsi="Arial" w:cs="Arial"/>
          <w:b/>
        </w:rPr>
        <w:t>若被保险人在搭乘公共交通工具（含网约车）、驾驶或乘坐非营运性机动车时发生意外身故及伤残，保险金申请人可以同时申请主保险合同下“意外身故及残疾保险金”。但驾驶或乘坐非营运性机动车意外身故及伤残保障未成年人不适用。公共交通工具（含网约车）、自驾车身故/残疾保额与主险保额累计赔付。</w:t>
      </w:r>
    </w:p>
    <w:p>
      <w:pPr>
        <w:pStyle w:val="4"/>
        <w:numPr>
          <w:ilvl w:val="0"/>
          <w:numId w:val="1"/>
        </w:numPr>
        <w:ind w:firstLineChars="0"/>
        <w:rPr>
          <w:rFonts w:ascii="Arial" w:hAnsi="Arial" w:cs="Arial"/>
        </w:rPr>
      </w:pPr>
      <w:r>
        <w:rPr>
          <w:rFonts w:hint="eastAsia" w:ascii="Arial" w:hAnsi="Arial" w:cs="Arial"/>
        </w:rPr>
        <w:t>本保险所称</w:t>
      </w:r>
      <w:bookmarkStart w:id="3" w:name="_Hlk142560778"/>
      <w:r>
        <w:rPr>
          <w:rFonts w:hint="eastAsia" w:ascii="Arial" w:hAnsi="Arial" w:cs="Arial"/>
        </w:rPr>
        <w:t>自驾车</w:t>
      </w:r>
      <w:bookmarkEnd w:id="3"/>
      <w:r>
        <w:rPr>
          <w:rFonts w:hint="eastAsia" w:ascii="Arial" w:hAnsi="Arial" w:cs="Arial"/>
        </w:rPr>
        <w:t>：</w:t>
      </w:r>
      <w:bookmarkStart w:id="4" w:name="_Hlk142560790"/>
      <w:r>
        <w:rPr>
          <w:rFonts w:hint="eastAsia" w:ascii="Arial" w:hAnsi="Arial" w:cs="Arial"/>
        </w:rPr>
        <w:t>是指被保险人合法拥有或租赁的7座（含）以下非营运为目的的四轮机动车辆（不含国家机关及企事业用车、货车、摩托车、拖拉机、特种车及残疾人电动车）</w:t>
      </w:r>
      <w:bookmarkEnd w:id="4"/>
      <w:r>
        <w:rPr>
          <w:rFonts w:hint="eastAsia" w:ascii="Arial" w:hAnsi="Arial" w:cs="Arial"/>
        </w:rPr>
        <w:t>。</w:t>
      </w:r>
    </w:p>
    <w:p>
      <w:pPr>
        <w:pStyle w:val="4"/>
        <w:numPr>
          <w:ilvl w:val="0"/>
          <w:numId w:val="1"/>
        </w:numPr>
        <w:ind w:firstLineChars="0"/>
        <w:rPr>
          <w:rFonts w:ascii="Arial" w:hAnsi="Arial" w:cs="Arial"/>
          <w:b/>
        </w:rPr>
      </w:pPr>
      <w:r>
        <w:rPr>
          <w:rFonts w:hint="eastAsia" w:ascii="Arial" w:hAnsi="Arial" w:cs="Arial"/>
        </w:rPr>
        <w:t>本特别约定与条款若有冲突，以本特别约定为准，未尽事项以条款为准。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3AB6"/>
    <w:multiLevelType w:val="multilevel"/>
    <w:tmpl w:val="4D713AB6"/>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A1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2023-10-10T08:34:03Z</dcterms:created>
  <dc:creator>iyb-sunpelin</dc:creator>
  <cp:lastModifiedBy>iyb-sunpelin</cp:lastModifiedBy>
  <dcterms:modified xsi:type="dcterms:W3CDTF">2023-10-10T08:34:48Z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